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 w:line="264" w:lineRule="auto"/>
      </w:pPr>
      <w:r>
        <w:rPr>
          <w:rFonts w:ascii="Calibri" w:hAnsi="Calibri"/>
          <w:b/>
          <w:color w:val="2356B8"/>
          <w:sz w:val="20"/>
        </w:rPr>
        <w:t>SECURITY ASSURANCE BRIEF</w:t>
      </w:r>
    </w:p>
    <w:p>
      <w:pPr>
        <w:pStyle w:val="Title"/>
        <w:spacing w:before="40" w:after="80"/>
      </w:pPr>
      <w:r>
        <w:rPr>
          <w:rFonts w:ascii="Calibri" w:hAnsi="Calibri"/>
          <w:b/>
          <w:color w:val="111827"/>
          <w:sz w:val="48"/>
        </w:rPr>
        <w:t>Broker / Agent Pathway Security Architecture</w:t>
      </w:r>
    </w:p>
    <w:p>
      <w:pPr>
        <w:pStyle w:val="Subtitle"/>
        <w:spacing w:after="280"/>
      </w:pPr>
      <w:r>
        <w:rPr>
          <w:rFonts w:ascii="Calibri" w:hAnsi="Calibri"/>
          <w:color w:val="475569"/>
          <w:sz w:val="25"/>
        </w:rPr>
        <w:t>Executive view of the control architecture, protected data posture, assurance evidence, and production readiness model.</w:t>
      </w:r>
    </w:p>
    <w:tbl>
      <w:tblPr>
        <w:tblStyle w:val="TableGrid"/>
        <w:tblW w:type="dxa" w:w="9360"/>
        <w:jc w:val="center"/>
        <w:tblLook w:firstColumn="1" w:firstRow="1" w:lastColumn="0" w:lastRow="0" w:noHBand="0" w:noVBand="1" w:val="04A0"/>
        <w:tblLayout w:type="fixed"/>
        <w:tblCellMar>
          <w:top w:w="100" w:type="dxa"/>
          <w:start w:w="140" w:type="dxa"/>
          <w:bottom w:w="100" w:type="dxa"/>
          <w:end w:w="140" w:type="dxa"/>
        </w:tblCellMar>
      </w:tblPr>
      <w:tblGrid>
        <w:gridCol w:w="4968"/>
        <w:gridCol w:w="4968"/>
      </w:tblGrid>
      <w:tr>
        <w:tc>
          <w:tcPr>
            <w:tcW w:type="dxa" w:w="1944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Prepared for</w:t>
            </w:r>
          </w:p>
        </w:tc>
        <w:tc>
          <w:tcPr>
            <w:tcW w:type="dxa" w:w="7416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WHPS security, architecture, product, and platform leadership</w:t>
            </w:r>
          </w:p>
        </w:tc>
      </w:tr>
      <w:tr>
        <w:tc>
          <w:tcPr>
            <w:tcW w:type="dxa" w:w="1944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Document type</w:t>
            </w:r>
          </w:p>
        </w:tc>
        <w:tc>
          <w:tcPr>
            <w:tcW w:type="dxa" w:w="7416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Executive security architecture and assurance brief</w:t>
            </w:r>
          </w:p>
        </w:tc>
      </w:tr>
      <w:tr>
        <w:tc>
          <w:tcPr>
            <w:tcW w:type="dxa" w:w="1944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Prepared date</w:t>
            </w:r>
          </w:p>
        </w:tc>
        <w:tc>
          <w:tcPr>
            <w:tcW w:type="dxa" w:w="7416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May 21, 2026</w:t>
            </w:r>
          </w:p>
        </w:tc>
      </w:tr>
      <w:tr>
        <w:tc>
          <w:tcPr>
            <w:tcW w:type="dxa" w:w="1944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Scope</w:t>
            </w:r>
          </w:p>
        </w:tc>
        <w:tc>
          <w:tcPr>
            <w:tcW w:type="dxa" w:w="7416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Broker / agent pathway, ACA enrollment workflows, CMS/EDE integration, evidence stores, and operating controls</w:t>
            </w:r>
          </w:p>
        </w:tc>
      </w:tr>
      <w:tr>
        <w:tc>
          <w:tcPr>
            <w:tcW w:type="dxa" w:w="1944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Evidence boundary</w:t>
            </w:r>
          </w:p>
        </w:tc>
        <w:tc>
          <w:tcPr>
            <w:tcW w:type="dxa" w:w="7416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Architecture and control posture are documented here; operating effectiveness requires dated evidence artifacts and approved remediation disposition.</w:t>
            </w:r>
          </w:p>
        </w:tc>
      </w:tr>
    </w:tbl>
    <w:p>
      <w:pPr>
        <w:spacing w:after="40"/>
      </w:pPr>
    </w:p>
    <w:tbl>
      <w:tblPr>
        <w:tblW w:type="dxa" w:w="9360"/>
        <w:jc w:val="center"/>
        <w:tblLook w:firstColumn="1" w:firstRow="1" w:lastColumn="0" w:lastRow="0" w:noHBand="0" w:noVBand="1" w:val="04A0"/>
        <w:tblLayout w:type="fixed"/>
        <w:tblCellMar>
          <w:top w:w="160" w:type="dxa"/>
          <w:start w:w="180" w:type="dxa"/>
          <w:bottom w:w="160" w:type="dxa"/>
          <w:end w:w="180" w:type="dxa"/>
        </w:tblCellMar>
      </w:tblPr>
      <w:tblGrid>
        <w:gridCol w:w="9936"/>
      </w:tblGrid>
      <w:tr>
        <w:tc>
          <w:tcPr>
            <w:tcW w:type="dxa" w:w="9936"/>
            <w:shd w:fill="E4F1EB"/>
            <w:tcBorders>
              <w:top w:val="single" w:sz="6" w:space="0" w:color="A9C8BD"/>
              <w:left w:val="single" w:sz="6" w:space="0" w:color="A9C8BD"/>
              <w:bottom w:val="single" w:sz="6" w:space="0" w:color="A9C8BD"/>
              <w:right w:val="single" w:sz="6" w:space="0" w:color="A9C8BD"/>
            </w:tcBorders>
          </w:tcPr>
          <w:p>
            <w:pPr>
              <w:spacing w:after="80"/>
            </w:pPr>
            <w:r>
              <w:rPr>
                <w:rFonts w:ascii="Calibri" w:hAnsi="Calibri"/>
                <w:b/>
                <w:color w:val="166049"/>
                <w:sz w:val="22"/>
              </w:rPr>
              <w:t>Executive security position</w:t>
            </w:r>
          </w:p>
          <w:p>
            <w:pPr>
              <w:spacing w:after="0" w:line="269" w:lineRule="auto"/>
            </w:pPr>
            <w:r>
              <w:rPr>
                <w:rFonts w:ascii="Calibri" w:hAnsi="Calibri"/>
                <w:color w:val="111827"/>
                <w:sz w:val="21"/>
              </w:rPr>
              <w:t>The Broker / Agent Pathway is governed as a regulated healthcare platform capability, not as a standalone user interface. The assurance model is built around four outcomes: authenticated and scoped access, protected transaction data, controlled integration boundaries, and evidence-backed operations.</w:t>
            </w:r>
          </w:p>
        </w:tc>
      </w:tr>
    </w:tbl>
    <w:p>
      <w:pPr>
        <w:spacing w:after="40"/>
      </w:pPr>
    </w:p>
    <w:p>
      <w:pPr>
        <w:pStyle w:val="Heading1"/>
        <w:spacing w:before="320" w:after="160"/>
      </w:pPr>
      <w:r>
        <w:rPr>
          <w:rFonts w:ascii="Calibri" w:hAnsi="Calibri"/>
          <w:b/>
          <w:color w:val="2356B8"/>
          <w:sz w:val="32"/>
        </w:rPr>
        <w:t>Board-level assurance view</w:t>
      </w:r>
    </w:p>
    <w:p>
      <w:pPr>
        <w:pStyle w:val="ListBullet"/>
        <w:spacing w:after="120"/>
        <w:ind w:left="720" w:hanging="360"/>
      </w:pPr>
      <w:r>
        <w:rPr>
          <w:rFonts w:ascii="Calibri" w:hAnsi="Calibri"/>
          <w:color w:val="111827"/>
          <w:sz w:val="22"/>
        </w:rPr>
        <w:t>Identity and role scope are the first control boundary: broker, agency, support, and consumer pathways must be separated by enterprise identity, MFA, role policy, and transaction context.</w:t>
      </w:r>
    </w:p>
    <w:p>
      <w:pPr>
        <w:pStyle w:val="ListBullet"/>
        <w:spacing w:after="120"/>
        <w:ind w:left="720" w:hanging="360"/>
      </w:pPr>
      <w:r>
        <w:rPr>
          <w:rFonts w:ascii="Calibri" w:hAnsi="Calibri"/>
          <w:color w:val="111827"/>
          <w:sz w:val="22"/>
        </w:rPr>
        <w:t>Network and application ingress are controlled through DNS, reverse proxy, load balancing, WAF/F5 policy, secure transport, API gateway controls, and hardened application services.</w:t>
      </w:r>
    </w:p>
    <w:p>
      <w:pPr>
        <w:pStyle w:val="ListBullet"/>
        <w:spacing w:after="120"/>
        <w:ind w:left="720" w:hanging="360"/>
      </w:pPr>
      <w:r>
        <w:rPr>
          <w:rFonts w:ascii="Calibri" w:hAnsi="Calibri"/>
          <w:color w:val="111827"/>
          <w:sz w:val="22"/>
        </w:rPr>
        <w:t>Protected data and CMS/EDE transaction evidence are handled through minimum-necessary access, encryption, masking, retention, audit logging, and reviewer-ready evidence packaging.</w:t>
      </w:r>
    </w:p>
    <w:p>
      <w:pPr>
        <w:pStyle w:val="ListBullet"/>
        <w:spacing w:after="120"/>
        <w:ind w:left="720" w:hanging="360"/>
      </w:pPr>
      <w:r>
        <w:rPr>
          <w:rFonts w:ascii="Calibri" w:hAnsi="Calibri"/>
          <w:color w:val="111827"/>
          <w:sz w:val="22"/>
        </w:rPr>
        <w:t>Security posture is sustained through SAST, DAST, dependency review, vulnerability scanning, endpoint visibility, SIEM/SecOps monitoring, remediation ownership, and external assurance where required.</w:t>
      </w:r>
    </w:p>
    <w:p>
      <w:pPr>
        <w:pStyle w:val="Heading1"/>
        <w:spacing w:before="320" w:after="160"/>
      </w:pPr>
      <w:r>
        <w:rPr>
          <w:rFonts w:ascii="Calibri" w:hAnsi="Calibri"/>
          <w:b/>
          <w:color w:val="2356B8"/>
          <w:sz w:val="32"/>
        </w:rPr>
        <w:t>Security architecture diagram</w:t>
      </w:r>
    </w:p>
    <w:p>
      <w:pPr>
        <w:spacing w:before="0" w:after="120" w:line="264" w:lineRule="auto"/>
      </w:pPr>
      <w:r>
        <w:rPr>
          <w:rFonts w:ascii="Calibri" w:hAnsi="Calibri"/>
          <w:b w:val="0"/>
          <w:color w:val="475569"/>
          <w:sz w:val="21"/>
        </w:rPr>
        <w:t>The layered architecture view shows the control stack from user access through edge protection, identity, application services, protected data, integration boundaries, evidence management, and SecOps assurance.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852160" cy="31861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1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318617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0" w:after="160" w:line="264" w:lineRule="auto"/>
        <w:jc w:val="center"/>
      </w:pPr>
      <w:r>
        <w:rPr>
          <w:rFonts w:ascii="Calibri" w:hAnsi="Calibri"/>
          <w:b w:val="0"/>
          <w:color w:val="475569"/>
          <w:sz w:val="18"/>
        </w:rPr>
        <w:t>Figure 1. Layered security architecture for Broker / Agent Pathway operations.</w:t>
      </w:r>
    </w:p>
    <w:p>
      <w:pPr>
        <w:pStyle w:val="Heading1"/>
        <w:spacing w:before="320" w:after="160"/>
      </w:pPr>
      <w:r>
        <w:rPr>
          <w:rFonts w:ascii="Calibri" w:hAnsi="Calibri"/>
          <w:b/>
          <w:color w:val="2356B8"/>
          <w:sz w:val="32"/>
        </w:rPr>
        <w:t>Control architecture at a glance</w:t>
      </w:r>
    </w:p>
    <w:tbl>
      <w:tblPr>
        <w:tblStyle w:val="TableGrid"/>
        <w:tblW w:type="dxa" w:w="9360"/>
        <w:jc w:val="center"/>
        <w:tblLook w:firstColumn="1" w:firstRow="1" w:lastColumn="0" w:lastRow="0" w:noHBand="0" w:noVBand="1" w:val="04A0"/>
        <w:tblLayout w:type="fixed"/>
        <w:tblCellMar>
          <w:top w:w="100" w:type="dxa"/>
          <w:start w:w="140" w:type="dxa"/>
          <w:bottom w:w="100" w:type="dxa"/>
          <w:end w:w="140" w:type="dxa"/>
        </w:tblCellMar>
      </w:tblPr>
      <w:tblGrid>
        <w:gridCol w:w="2484"/>
        <w:gridCol w:w="2484"/>
        <w:gridCol w:w="2484"/>
        <w:gridCol w:w="2484"/>
      </w:tblGrid>
      <w:tr>
        <w:tc>
          <w:tcPr>
            <w:tcW w:type="dxa" w:w="1656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fill="EEF3FA"/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/>
                <w:color w:val="111827"/>
                <w:sz w:val="18"/>
              </w:rPr>
              <w:t>Control domain</w:t>
            </w:r>
          </w:p>
        </w:tc>
        <w:tc>
          <w:tcPr>
            <w:tcW w:type="dxa" w:w="2232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fill="EEF3FA"/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/>
                <w:color w:val="111827"/>
                <w:sz w:val="18"/>
              </w:rPr>
              <w:t>Executive purpose</w:t>
            </w:r>
          </w:p>
        </w:tc>
        <w:tc>
          <w:tcPr>
            <w:tcW w:type="dxa" w:w="2880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fill="EEF3FA"/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/>
                <w:color w:val="111827"/>
                <w:sz w:val="18"/>
              </w:rPr>
              <w:t>Primary controls</w:t>
            </w:r>
          </w:p>
        </w:tc>
        <w:tc>
          <w:tcPr>
            <w:tcW w:type="dxa" w:w="2592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fill="EEF3FA"/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/>
                <w:color w:val="111827"/>
                <w:sz w:val="18"/>
              </w:rPr>
              <w:t>Evidence expected</w:t>
            </w:r>
          </w:p>
        </w:tc>
      </w:tr>
      <w:tr>
        <w:tc>
          <w:tcPr>
            <w:tcW w:type="dxa" w:w="1656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Edge and network</w:t>
            </w:r>
          </w:p>
        </w:tc>
        <w:tc>
          <w:tcPr>
            <w:tcW w:type="dxa" w:w="2232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Protect entry points and stabilize traffic boundaries.</w:t>
            </w:r>
          </w:p>
        </w:tc>
        <w:tc>
          <w:tcPr>
            <w:tcW w:type="dxa" w:w="2880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DNS, reverse proxy, F5 VIP, WAF, firewall, TLS/HSTS/CSP, certificate lifecycle.</w:t>
            </w:r>
          </w:p>
        </w:tc>
        <w:tc>
          <w:tcPr>
            <w:tcW w:type="dxa" w:w="2592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WAF policy export, DNS/VIP record, TLS scan, certificate inventory, network change record.</w:t>
            </w:r>
          </w:p>
        </w:tc>
      </w:tr>
      <w:tr>
        <w:tc>
          <w:tcPr>
            <w:tcW w:type="dxa" w:w="1656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Identity and access</w:t>
            </w:r>
          </w:p>
        </w:tc>
        <w:tc>
          <w:tcPr>
            <w:tcW w:type="dxa" w:w="2232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Ensure only authorized users can act within permitted broker, agency, support, or consumer scope.</w:t>
            </w:r>
          </w:p>
        </w:tc>
        <w:tc>
          <w:tcPr>
            <w:tcW w:type="dxa" w:w="2880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SSO, IAM/IDM, MFA, RBAC/ABAC, brokerId/agencyId scoping, privileged access controls.</w:t>
            </w:r>
          </w:p>
        </w:tc>
        <w:tc>
          <w:tcPr>
            <w:tcW w:type="dxa" w:w="2592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MFA report, role matrix, access review, privileged access log, deprovisioning sample.</w:t>
            </w:r>
          </w:p>
        </w:tc>
      </w:tr>
      <w:tr>
        <w:tc>
          <w:tcPr>
            <w:tcW w:type="dxa" w:w="1656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Application and API security</w:t>
            </w:r>
          </w:p>
        </w:tc>
        <w:tc>
          <w:tcPr>
            <w:tcW w:type="dxa" w:w="2232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Control business actions at the service boundary.</w:t>
            </w:r>
          </w:p>
        </w:tc>
        <w:tc>
          <w:tcPr>
            <w:tcW w:type="dxa" w:w="2880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Portal BFF, API gateway, CSRF controls, rate limiting, schema validation, secure headers, secrets/KMS.</w:t>
            </w:r>
          </w:p>
        </w:tc>
        <w:tc>
          <w:tcPr>
            <w:tcW w:type="dxa" w:w="2592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SAST/DAST/SCA reports, secrets scan, code review evidence, threat model, release approval.</w:t>
            </w:r>
          </w:p>
        </w:tc>
      </w:tr>
      <w:tr>
        <w:tc>
          <w:tcPr>
            <w:tcW w:type="dxa" w:w="1656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Data and integration protection</w:t>
            </w:r>
          </w:p>
        </w:tc>
        <w:tc>
          <w:tcPr>
            <w:tcW w:type="dxa" w:w="2232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Protect PII/PHI, CMS/EDE metadata, documents, and transaction history.</w:t>
            </w:r>
          </w:p>
        </w:tc>
        <w:tc>
          <w:tcPr>
            <w:tcW w:type="dxa" w:w="2880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Encryption, masked responses, consent records, audit logs, correlation IDs, idempotency, retention policy.</w:t>
            </w:r>
          </w:p>
        </w:tc>
        <w:tc>
          <w:tcPr>
            <w:tcW w:type="dxa" w:w="2592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Encryption configuration, transaction evidence, audit sample, masking test, retention evidence.</w:t>
            </w:r>
          </w:p>
        </w:tc>
      </w:tr>
      <w:tr>
        <w:tc>
          <w:tcPr>
            <w:tcW w:type="dxa" w:w="1656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SecOps and assurance</w:t>
            </w:r>
          </w:p>
        </w:tc>
        <w:tc>
          <w:tcPr>
            <w:tcW w:type="dxa" w:w="2232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Sustain operating confidence after launch.</w:t>
            </w:r>
          </w:p>
        </w:tc>
        <w:tc>
          <w:tcPr>
            <w:tcW w:type="dxa" w:w="2880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Tanium, Cortex, Qualys, SIEM/SOAR, vulnerability management, incident runbooks, remediation register.</w:t>
            </w:r>
          </w:p>
        </w:tc>
        <w:tc>
          <w:tcPr>
            <w:tcW w:type="dxa" w:w="2592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Endpoint posture, vulnerability report, SIEM correlation, incident tabletop, POA&amp;M / remediation evidence.</w:t>
            </w:r>
          </w:p>
        </w:tc>
      </w:tr>
    </w:tbl>
    <w:p>
      <w:pPr>
        <w:spacing w:after="40"/>
      </w:pPr>
    </w:p>
    <w:p>
      <w:pPr>
        <w:pStyle w:val="Heading1"/>
        <w:spacing w:before="320" w:after="160"/>
      </w:pPr>
      <w:r>
        <w:rPr>
          <w:rFonts w:ascii="Calibri" w:hAnsi="Calibri"/>
          <w:b/>
          <w:color w:val="2356B8"/>
          <w:sz w:val="32"/>
        </w:rPr>
        <w:t>Evidence lifecycle and operating assurance</w:t>
      </w:r>
    </w:p>
    <w:p>
      <w:pPr>
        <w:spacing w:before="0" w:after="120" w:line="264" w:lineRule="auto"/>
      </w:pPr>
      <w:r>
        <w:rPr>
          <w:rFonts w:ascii="Calibri" w:hAnsi="Calibri"/>
          <w:b w:val="0"/>
          <w:color w:val="111827"/>
          <w:sz w:val="21"/>
        </w:rPr>
        <w:t>A control should be represented as operating only when the evidence record is dated, owner-assigned, environment-specific, and traceable to a release or operating cadence. Target-state controls should remain clearly labeled until validation is complete.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715000" cy="28575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2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8575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0" w:after="160" w:line="264" w:lineRule="auto"/>
        <w:jc w:val="center"/>
      </w:pPr>
      <w:r>
        <w:rPr>
          <w:rFonts w:ascii="Calibri" w:hAnsi="Calibri"/>
          <w:b w:val="0"/>
          <w:color w:val="475569"/>
          <w:sz w:val="18"/>
        </w:rPr>
        <w:t>Figure 2. Evidence lifecycle from design and secure build through release, runtime monitoring, and audit response.</w:t>
      </w:r>
    </w:p>
    <w:p>
      <w:pPr>
        <w:pStyle w:val="Heading1"/>
        <w:spacing w:before="320" w:after="160"/>
      </w:pPr>
      <w:r>
        <w:rPr>
          <w:rFonts w:ascii="Calibri" w:hAnsi="Calibri"/>
          <w:b/>
          <w:color w:val="2356B8"/>
          <w:sz w:val="32"/>
        </w:rPr>
        <w:t>Production assurance cadence</w:t>
      </w:r>
    </w:p>
    <w:tbl>
      <w:tblPr>
        <w:tblStyle w:val="TableGrid"/>
        <w:tblW w:type="dxa" w:w="9360"/>
        <w:jc w:val="center"/>
        <w:tblLook w:firstColumn="1" w:firstRow="1" w:lastColumn="0" w:lastRow="0" w:noHBand="0" w:noVBand="1" w:val="04A0"/>
        <w:tblLayout w:type="fixed"/>
        <w:tblCellMar>
          <w:top w:w="100" w:type="dxa"/>
          <w:start w:w="140" w:type="dxa"/>
          <w:bottom w:w="100" w:type="dxa"/>
          <w:end w:w="140" w:type="dxa"/>
        </w:tblCellMar>
      </w:tblPr>
      <w:tblGrid>
        <w:gridCol w:w="3312"/>
        <w:gridCol w:w="3312"/>
        <w:gridCol w:w="3312"/>
      </w:tblGrid>
      <w:tr>
        <w:tc>
          <w:tcPr>
            <w:tcW w:type="dxa" w:w="1656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fill="EEF3FA"/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/>
                <w:color w:val="111827"/>
                <w:sz w:val="18"/>
              </w:rPr>
              <w:t>Cadence</w:t>
            </w:r>
          </w:p>
        </w:tc>
        <w:tc>
          <w:tcPr>
            <w:tcW w:type="dxa" w:w="4536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fill="EEF3FA"/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/>
                <w:color w:val="111827"/>
                <w:sz w:val="18"/>
              </w:rPr>
              <w:t>Security and governance activity</w:t>
            </w:r>
          </w:p>
        </w:tc>
        <w:tc>
          <w:tcPr>
            <w:tcW w:type="dxa" w:w="3168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fill="EEF3FA"/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/>
                <w:color w:val="111827"/>
                <w:sz w:val="18"/>
              </w:rPr>
              <w:t>Decision-grade output</w:t>
            </w:r>
          </w:p>
        </w:tc>
      </w:tr>
      <w:tr>
        <w:tc>
          <w:tcPr>
            <w:tcW w:type="dxa" w:w="1656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Every release</w:t>
            </w:r>
          </w:p>
        </w:tc>
        <w:tc>
          <w:tcPr>
            <w:tcW w:type="dxa" w:w="4536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Threat model update, SAST/SCA/secrets review, DAST where applicable, access impact review, release gate approval.</w:t>
            </w:r>
          </w:p>
        </w:tc>
        <w:tc>
          <w:tcPr>
            <w:tcW w:type="dxa" w:w="3168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Release evidence packet with open findings, disposition, owner, and go/no-go decision.</w:t>
            </w:r>
          </w:p>
        </w:tc>
      </w:tr>
      <w:tr>
        <w:tc>
          <w:tcPr>
            <w:tcW w:type="dxa" w:w="1656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Monthly</w:t>
            </w:r>
          </w:p>
        </w:tc>
        <w:tc>
          <w:tcPr>
            <w:tcW w:type="dxa" w:w="4536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Vulnerability posture review, remediation aging, SIEM / SecOps signal review, evidence register refresh.</w:t>
            </w:r>
          </w:p>
        </w:tc>
        <w:tc>
          <w:tcPr>
            <w:tcW w:type="dxa" w:w="3168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Operating assurance snapshot and remediation burn-down view.</w:t>
            </w:r>
          </w:p>
        </w:tc>
      </w:tr>
      <w:tr>
        <w:tc>
          <w:tcPr>
            <w:tcW w:type="dxa" w:w="1656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Quarterly</w:t>
            </w:r>
          </w:p>
        </w:tc>
        <w:tc>
          <w:tcPr>
            <w:tcW w:type="dxa" w:w="4536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Access recertification, privileged access review, control evidence sampling, incident tabletop or runbook refresh where required.</w:t>
            </w:r>
          </w:p>
        </w:tc>
        <w:tc>
          <w:tcPr>
            <w:tcW w:type="dxa" w:w="3168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Quarterly control attestation and residual risk view.</w:t>
            </w:r>
          </w:p>
        </w:tc>
      </w:tr>
      <w:tr>
        <w:tc>
          <w:tcPr>
            <w:tcW w:type="dxa" w:w="1656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External assurance</w:t>
            </w:r>
          </w:p>
        </w:tc>
        <w:tc>
          <w:tcPr>
            <w:tcW w:type="dxa" w:w="4536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Elevate audit / penetration testing, retest, and closure evidence once scope is approved.</w:t>
            </w:r>
          </w:p>
        </w:tc>
        <w:tc>
          <w:tcPr>
            <w:tcW w:type="dxa" w:w="3168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Independent assurance report with findings, remediation evidence, and accepted residual risk.</w:t>
            </w:r>
          </w:p>
        </w:tc>
      </w:tr>
    </w:tbl>
    <w:p>
      <w:pPr>
        <w:spacing w:after="40"/>
      </w:pPr>
    </w:p>
    <w:tbl>
      <w:tblPr>
        <w:tblW w:type="dxa" w:w="9360"/>
        <w:jc w:val="center"/>
        <w:tblLook w:firstColumn="1" w:firstRow="1" w:lastColumn="0" w:lastRow="0" w:noHBand="0" w:noVBand="1" w:val="04A0"/>
        <w:tblLayout w:type="fixed"/>
        <w:tblCellMar>
          <w:top w:w="160" w:type="dxa"/>
          <w:start w:w="180" w:type="dxa"/>
          <w:bottom w:w="160" w:type="dxa"/>
          <w:end w:w="180" w:type="dxa"/>
        </w:tblCellMar>
      </w:tblPr>
      <w:tblGrid>
        <w:gridCol w:w="9936"/>
      </w:tblGrid>
      <w:tr>
        <w:tc>
          <w:tcPr>
            <w:tcW w:type="dxa" w:w="9936"/>
            <w:shd w:fill="E4F1EB"/>
            <w:tcBorders>
              <w:top w:val="single" w:sz="6" w:space="0" w:color="A9C8BD"/>
              <w:left w:val="single" w:sz="6" w:space="0" w:color="A9C8BD"/>
              <w:bottom w:val="single" w:sz="6" w:space="0" w:color="A9C8BD"/>
              <w:right w:val="single" w:sz="6" w:space="0" w:color="A9C8BD"/>
            </w:tcBorders>
          </w:tcPr>
          <w:p>
            <w:pPr>
              <w:spacing w:after="80"/>
            </w:pPr>
            <w:r>
              <w:rPr>
                <w:rFonts w:ascii="Calibri" w:hAnsi="Calibri"/>
                <w:b/>
                <w:color w:val="166049"/>
                <w:sz w:val="22"/>
              </w:rPr>
              <w:t>Submission standard</w:t>
            </w:r>
          </w:p>
          <w:p>
            <w:pPr>
              <w:spacing w:after="0" w:line="269" w:lineRule="auto"/>
            </w:pPr>
            <w:r>
              <w:rPr>
                <w:rFonts w:ascii="Calibri" w:hAnsi="Calibri"/>
                <w:color w:val="111827"/>
                <w:sz w:val="21"/>
              </w:rPr>
              <w:t>For external or executive review, attach actual scan outputs, access reports, WAF/F5 evidence, vulnerability dispositions, penetration testing reports, and approval records. Do not describe a control as complete solely because it exists in the target architecture.</w:t>
            </w:r>
          </w:p>
        </w:tc>
      </w:tr>
    </w:tbl>
    <w:p>
      <w:pPr>
        <w:spacing w:after="40"/>
      </w:pPr>
    </w:p>
    <w:p>
      <w:pPr>
        <w:pStyle w:val="Heading1"/>
        <w:spacing w:before="320" w:after="160"/>
      </w:pPr>
      <w:r>
        <w:rPr>
          <w:rFonts w:ascii="Calibri" w:hAnsi="Calibri"/>
          <w:b/>
          <w:color w:val="2356B8"/>
          <w:sz w:val="32"/>
        </w:rPr>
        <w:t>Reference anchors</w:t>
      </w:r>
    </w:p>
    <w:tbl>
      <w:tblPr>
        <w:tblStyle w:val="TableGrid"/>
        <w:tblW w:type="dxa" w:w="9360"/>
        <w:jc w:val="center"/>
        <w:tblLook w:firstColumn="1" w:firstRow="1" w:lastColumn="0" w:lastRow="0" w:noHBand="0" w:noVBand="1" w:val="04A0"/>
        <w:tblLayout w:type="fixed"/>
        <w:tblCellMar>
          <w:top w:w="100" w:type="dxa"/>
          <w:start w:w="140" w:type="dxa"/>
          <w:bottom w:w="100" w:type="dxa"/>
          <w:end w:w="140" w:type="dxa"/>
        </w:tblCellMar>
      </w:tblPr>
      <w:tblGrid>
        <w:gridCol w:w="3312"/>
        <w:gridCol w:w="3312"/>
        <w:gridCol w:w="3312"/>
      </w:tblGrid>
      <w:tr>
        <w:tc>
          <w:tcPr>
            <w:tcW w:type="dxa" w:w="2232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fill="EEF3FA"/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/>
                <w:color w:val="111827"/>
                <w:sz w:val="18"/>
              </w:rPr>
              <w:t>Reference</w:t>
            </w:r>
          </w:p>
        </w:tc>
        <w:tc>
          <w:tcPr>
            <w:tcW w:type="dxa" w:w="2880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fill="EEF3FA"/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/>
                <w:color w:val="111827"/>
                <w:sz w:val="18"/>
              </w:rPr>
              <w:t>Use in review</w:t>
            </w:r>
          </w:p>
        </w:tc>
        <w:tc>
          <w:tcPr>
            <w:tcW w:type="dxa" w:w="4248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fill="EEF3FA"/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/>
                <w:color w:val="111827"/>
                <w:sz w:val="18"/>
              </w:rPr>
              <w:t>URL</w:t>
            </w:r>
          </w:p>
        </w:tc>
      </w:tr>
      <w:tr>
        <w:tc>
          <w:tcPr>
            <w:tcW w:type="dxa" w:w="2232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NIST SP 800-207</w:t>
            </w:r>
          </w:p>
        </w:tc>
        <w:tc>
          <w:tcPr>
            <w:tcW w:type="dxa" w:w="2880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Zero Trust Architecture</w:t>
            </w:r>
          </w:p>
        </w:tc>
        <w:tc>
          <w:tcPr>
            <w:tcW w:type="dxa" w:w="4248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https://csrc.nist.gov/pubs/sp/800/207/final</w:t>
            </w:r>
          </w:p>
        </w:tc>
      </w:tr>
      <w:tr>
        <w:tc>
          <w:tcPr>
            <w:tcW w:type="dxa" w:w="2232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NIST SP 800-218</w:t>
            </w:r>
          </w:p>
        </w:tc>
        <w:tc>
          <w:tcPr>
            <w:tcW w:type="dxa" w:w="2880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Secure Software Development Framework</w:t>
            </w:r>
          </w:p>
        </w:tc>
        <w:tc>
          <w:tcPr>
            <w:tcW w:type="dxa" w:w="4248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https://csrc.nist.gov/pubs/sp/800/218/final</w:t>
            </w:r>
          </w:p>
        </w:tc>
      </w:tr>
      <w:tr>
        <w:tc>
          <w:tcPr>
            <w:tcW w:type="dxa" w:w="2232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NIST SP 800-53 Rev. 5</w:t>
            </w:r>
          </w:p>
        </w:tc>
        <w:tc>
          <w:tcPr>
            <w:tcW w:type="dxa" w:w="2880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Security and privacy control catalog</w:t>
            </w:r>
          </w:p>
        </w:tc>
        <w:tc>
          <w:tcPr>
            <w:tcW w:type="dxa" w:w="4248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https://csrc.nist.gov/pubs/sp/800/53/r5/upd1/final</w:t>
            </w:r>
          </w:p>
        </w:tc>
      </w:tr>
      <w:tr>
        <w:tc>
          <w:tcPr>
            <w:tcW w:type="dxa" w:w="2232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HHS HIPAA Security Rule</w:t>
            </w:r>
          </w:p>
        </w:tc>
        <w:tc>
          <w:tcPr>
            <w:tcW w:type="dxa" w:w="2880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Administrative, physical, and technical safeguards</w:t>
            </w:r>
          </w:p>
        </w:tc>
        <w:tc>
          <w:tcPr>
            <w:tcW w:type="dxa" w:w="4248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https://www.hhs.gov/hipaa/for-professionals/security/laws-regulations/index.html</w:t>
            </w:r>
          </w:p>
        </w:tc>
      </w:tr>
      <w:tr>
        <w:tc>
          <w:tcPr>
            <w:tcW w:type="dxa" w:w="2232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CMS EDE guidance</w:t>
            </w:r>
          </w:p>
        </w:tc>
        <w:tc>
          <w:tcPr>
            <w:tcW w:type="dxa" w:w="2880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Enhanced Direct Enrollment and audit expectations</w:t>
            </w:r>
          </w:p>
        </w:tc>
        <w:tc>
          <w:tcPr>
            <w:tcW w:type="dxa" w:w="4248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https://www.cms.gov/marketplace-private-insurance/agents-brokers/enhanced-direct-enrollment</w:t>
            </w:r>
          </w:p>
        </w:tc>
      </w:tr>
      <w:tr>
        <w:tc>
          <w:tcPr>
            <w:tcW w:type="dxa" w:w="2232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OWASP ASVS / Top 10</w:t>
            </w:r>
          </w:p>
        </w:tc>
        <w:tc>
          <w:tcPr>
            <w:tcW w:type="dxa" w:w="2880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Application security verification and common risk categories</w:t>
            </w:r>
          </w:p>
        </w:tc>
        <w:tc>
          <w:tcPr>
            <w:tcW w:type="dxa" w:w="4248"/>
            <w:vAlign w:val="center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</w:tcPr>
          <w:p>
            <w:pPr>
              <w:spacing w:after="0" w:line="259" w:lineRule="auto"/>
            </w:pPr>
            <w:r/>
            <w:r>
              <w:rPr>
                <w:rFonts w:ascii="Calibri" w:hAnsi="Calibri"/>
                <w:b w:val="0"/>
                <w:color w:val="111827"/>
                <w:sz w:val="18"/>
              </w:rPr>
              <w:t>https://owasp.org/www-project-application-security-verification-standard/</w:t>
            </w:r>
          </w:p>
        </w:tc>
      </w:tr>
    </w:tbl>
    <w:p>
      <w:pPr>
        <w:spacing w:after="40"/>
      </w:pPr>
    </w:p>
    <w:sectPr w:rsidR="00FC693F" w:rsidRPr="0006063C" w:rsidSect="00034616">
      <w:headerReference w:type="default" r:id="rId9"/>
      <w:footerReference w:type="default" r:id="rId10"/>
      <w:pgSz w:w="12240" w:h="15840"/>
      <w:pgMar w:top="1080" w:right="1152" w:bottom="1080" w:left="1152" w:header="648" w:footer="64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475569"/>
        <w:sz w:val="17"/>
      </w:rPr>
      <w:t>Controlled planning artifact - validate operating effectiveness with dated evidence before external submission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/>
    <w:r>
      <w:rPr>
        <w:rFonts w:ascii="Calibri" w:hAnsi="Calibri"/>
        <w:b/>
        <w:color w:val="475569"/>
        <w:sz w:val="18"/>
      </w:rPr>
      <w:t>WHPS Broker / Agent Pathway | Security Assurance Brief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11827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2356B8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2356B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166049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Calibri" w:hAnsi="Calibri"/>
      <w:b/>
      <w:color w:val="111827"/>
      <w:spacing w:val="5"/>
      <w:kern w:val="28"/>
      <w:sz w:val="4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Calibri" w:hAnsi="Calibri"/>
      <w:b w:val="0"/>
      <w:i/>
      <w:iCs/>
      <w:color w:val="475569"/>
      <w:spacing w:val="15"/>
      <w:sz w:val="2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Relationship Id="rId1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