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BrokerPortal Security Controls and Evidence Matrix</w:t>
      </w:r>
    </w:p>
    <w:p>
      <w:pPr>
        <w:spacing w:after="200"/>
      </w:pPr>
      <w:r>
        <w:rPr>
          <w:rFonts w:ascii="Arial" w:hAnsi="Arial"/>
          <w:color w:val="334155"/>
          <w:sz w:val="22"/>
        </w:rPr>
        <w:t>A practical control matrix for documenting how BrokerPortal security controls map to evidence, owners, cadence, and policy review expectations.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4968"/>
        <w:gridCol w:w="4968"/>
      </w:tblGrid>
      <w:tr>
        <w:trPr>
          <w:tblHeader w:val="true"/>
        </w:trPr>
        <w:tc>
          <w:tcPr>
            <w:tcW w:type="dxa" w:w="2246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E7EE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Prepared for</w:t>
            </w:r>
          </w:p>
        </w:tc>
        <w:tc>
          <w:tcPr>
            <w:tcW w:type="dxa" w:w="7114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E7EE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WHPS BrokerPortal / BrokerLink security review</w:t>
            </w:r>
          </w:p>
        </w:tc>
      </w:tr>
      <w:tr>
        <w:tc>
          <w:tcPr>
            <w:tcW w:type="dxa" w:w="2246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Document status</w:t>
            </w:r>
          </w:p>
        </w:tc>
        <w:tc>
          <w:tcPr>
            <w:tcW w:type="dxa" w:w="7114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Controlled review draft; operating effectiveness requires dated evidence artifacts</w:t>
            </w:r>
          </w:p>
        </w:tc>
      </w:tr>
      <w:tr>
        <w:tc>
          <w:tcPr>
            <w:tcW w:type="dxa" w:w="2246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Prepared date</w:t>
            </w:r>
          </w:p>
        </w:tc>
        <w:tc>
          <w:tcPr>
            <w:tcW w:type="dxa" w:w="7114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May 14, 2026</w:t>
            </w:r>
          </w:p>
        </w:tc>
      </w:tr>
    </w:tbl>
    <w:p/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9936"/>
      </w:tblGrid>
      <w:tr>
        <w:trPr>
          <w:tblHeader w:val="true"/>
        </w:trPr>
        <w:tc>
          <w:tcPr>
            <w:tcW w:type="dxa" w:w="9360"/>
            <w:shd w:fill="E7EEFC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vAlign w:val="center"/>
            <w:shd w:fill="E7EE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Review objective</w:t>
            </w:r>
          </w:p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Security review should establish a control-to-evidence trail: what control exists, why it exists, who owns it, how often it is reviewed, and which artifact proves operation.</w:t>
            </w:r>
          </w:p>
        </w:tc>
      </w:tr>
    </w:tbl>
    <w:p/>
    <w:p>
      <w:pPr>
        <w:pStyle w:val="Heading1"/>
      </w:pPr>
      <w:r>
        <w:t>Control evidence matrix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1987"/>
        <w:gridCol w:w="1987"/>
        <w:gridCol w:w="1987"/>
        <w:gridCol w:w="1987"/>
        <w:gridCol w:w="1987"/>
      </w:tblGrid>
      <w:tr>
        <w:trPr>
          <w:tblHeader w:val="true"/>
        </w:trPr>
        <w:tc>
          <w:tcPr>
            <w:tcW w:type="dxa" w:w="6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E4F1EB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ID</w:t>
            </w:r>
          </w:p>
        </w:tc>
        <w:tc>
          <w:tcPr>
            <w:tcW w:type="dxa" w:w="1517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E4F1EB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Control area</w:t>
            </w:r>
          </w:p>
        </w:tc>
        <w:tc>
          <w:tcPr>
            <w:tcW w:type="dxa" w:w="297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E4F1EB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Control statement</w:t>
            </w:r>
          </w:p>
        </w:tc>
        <w:tc>
          <w:tcPr>
            <w:tcW w:type="dxa" w:w="2529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E4F1EB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Evidence artifact</w:t>
            </w:r>
          </w:p>
        </w:tc>
        <w:tc>
          <w:tcPr>
            <w:tcW w:type="dxa" w:w="171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E4F1EB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Owner / cadence</w:t>
            </w:r>
          </w:p>
        </w:tc>
      </w:tr>
      <w:tr>
        <w:tc>
          <w:tcPr>
            <w:tcW w:type="dxa" w:w="6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AC-01</w:t>
            </w:r>
          </w:p>
        </w:tc>
        <w:tc>
          <w:tcPr>
            <w:tcW w:type="dxa" w:w="1517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Identity governance</w:t>
            </w:r>
          </w:p>
        </w:tc>
        <w:tc>
          <w:tcPr>
            <w:tcW w:type="dxa" w:w="297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SSO, IAM/IDM, MFA, joiner-mover-leaver, privileged access review.</w:t>
            </w:r>
          </w:p>
        </w:tc>
        <w:tc>
          <w:tcPr>
            <w:tcW w:type="dxa" w:w="2529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Access review, MFA report, deprovision sample.</w:t>
            </w:r>
          </w:p>
        </w:tc>
        <w:tc>
          <w:tcPr>
            <w:tcW w:type="dxa" w:w="171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Security / IAM; Quarterly</w:t>
            </w:r>
          </w:p>
        </w:tc>
      </w:tr>
      <w:tr>
        <w:tc>
          <w:tcPr>
            <w:tcW w:type="dxa" w:w="6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AC-02</w:t>
            </w:r>
          </w:p>
        </w:tc>
        <w:tc>
          <w:tcPr>
            <w:tcW w:type="dxa" w:w="1517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Broker/agency authorization</w:t>
            </w:r>
          </w:p>
        </w:tc>
        <w:tc>
          <w:tcPr>
            <w:tcW w:type="dxa" w:w="297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RBAC/ABAC, brokerId and agencyId scoping, support break-glass.</w:t>
            </w:r>
          </w:p>
        </w:tc>
        <w:tc>
          <w:tcPr>
            <w:tcW w:type="dxa" w:w="2529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Role matrix, API test, privileged log sample.</w:t>
            </w:r>
          </w:p>
        </w:tc>
        <w:tc>
          <w:tcPr>
            <w:tcW w:type="dxa" w:w="171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Product / Security; Release + quarterly</w:t>
            </w:r>
          </w:p>
        </w:tc>
      </w:tr>
      <w:tr>
        <w:tc>
          <w:tcPr>
            <w:tcW w:type="dxa" w:w="6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SC-01</w:t>
            </w:r>
          </w:p>
        </w:tc>
        <w:tc>
          <w:tcPr>
            <w:tcW w:type="dxa" w:w="1517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Edge protection</w:t>
            </w:r>
          </w:p>
        </w:tc>
        <w:tc>
          <w:tcPr>
            <w:tcW w:type="dxa" w:w="297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DNS, load balancer/VIP, reverse proxy, WAF, bot rules, TLS, HSTS, CSP.</w:t>
            </w:r>
          </w:p>
        </w:tc>
        <w:tc>
          <w:tcPr>
            <w:tcW w:type="dxa" w:w="2529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WAF export, TLS scan, certificate inventory.</w:t>
            </w:r>
          </w:p>
        </w:tc>
        <w:tc>
          <w:tcPr>
            <w:tcW w:type="dxa" w:w="171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Network / Security; Release + scheduled</w:t>
            </w:r>
          </w:p>
        </w:tc>
      </w:tr>
      <w:tr>
        <w:tc>
          <w:tcPr>
            <w:tcW w:type="dxa" w:w="6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SC-02</w:t>
            </w:r>
          </w:p>
        </w:tc>
        <w:tc>
          <w:tcPr>
            <w:tcW w:type="dxa" w:w="1517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Application transport</w:t>
            </w:r>
          </w:p>
        </w:tc>
        <w:tc>
          <w:tcPr>
            <w:tcW w:type="dxa" w:w="297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API gateway, mTLS where applicable, secrets/KMS, secure headers.</w:t>
            </w:r>
          </w:p>
        </w:tc>
        <w:tc>
          <w:tcPr>
            <w:tcW w:type="dxa" w:w="2529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Gateway config, mTLS/cert proof if used, secrets scan.</w:t>
            </w:r>
          </w:p>
        </w:tc>
        <w:tc>
          <w:tcPr>
            <w:tcW w:type="dxa" w:w="171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Platform; Release</w:t>
            </w:r>
          </w:p>
        </w:tc>
      </w:tr>
      <w:tr>
        <w:tc>
          <w:tcPr>
            <w:tcW w:type="dxa" w:w="6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SI-01</w:t>
            </w:r>
          </w:p>
        </w:tc>
        <w:tc>
          <w:tcPr>
            <w:tcW w:type="dxa" w:w="1517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Secure SDLC</w:t>
            </w:r>
          </w:p>
        </w:tc>
        <w:tc>
          <w:tcPr>
            <w:tcW w:type="dxa" w:w="297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Threat model, code review, SAST, DAST, SCA, IaC/container scan, secrets scan.</w:t>
            </w:r>
          </w:p>
        </w:tc>
        <w:tc>
          <w:tcPr>
            <w:tcW w:type="dxa" w:w="2529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Scan output, PR evidence, remediation ticket.</w:t>
            </w:r>
          </w:p>
        </w:tc>
        <w:tc>
          <w:tcPr>
            <w:tcW w:type="dxa" w:w="171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Engineering / Security; Every release</w:t>
            </w:r>
          </w:p>
        </w:tc>
      </w:tr>
      <w:tr>
        <w:tc>
          <w:tcPr>
            <w:tcW w:type="dxa" w:w="6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RA-01</w:t>
            </w:r>
          </w:p>
        </w:tc>
        <w:tc>
          <w:tcPr>
            <w:tcW w:type="dxa" w:w="1517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Vulnerability management</w:t>
            </w:r>
          </w:p>
        </w:tc>
        <w:tc>
          <w:tcPr>
            <w:tcW w:type="dxa" w:w="297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Vulnerability scanning, risk rating, SLA, POA&amp;M, exception workflow.</w:t>
            </w:r>
          </w:p>
        </w:tc>
        <w:tc>
          <w:tcPr>
            <w:tcW w:type="dxa" w:w="2529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Scan report, remediation tracker, exception approval.</w:t>
            </w:r>
          </w:p>
        </w:tc>
        <w:tc>
          <w:tcPr>
            <w:tcW w:type="dxa" w:w="171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Security; Scheduled + release</w:t>
            </w:r>
          </w:p>
        </w:tc>
      </w:tr>
      <w:tr>
        <w:tc>
          <w:tcPr>
            <w:tcW w:type="dxa" w:w="6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AU-01</w:t>
            </w:r>
          </w:p>
        </w:tc>
        <w:tc>
          <w:tcPr>
            <w:tcW w:type="dxa" w:w="1517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Audit and evidence</w:t>
            </w:r>
          </w:p>
        </w:tc>
        <w:tc>
          <w:tcPr>
            <w:tcW w:type="dxa" w:w="297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Audit logs, row hash chain, CMS correlation ID, Hub evidence, DMI/SVI history.</w:t>
            </w:r>
          </w:p>
        </w:tc>
        <w:tc>
          <w:tcPr>
            <w:tcW w:type="dxa" w:w="2529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Audit sample, hash verification, transaction evidence.</w:t>
            </w:r>
          </w:p>
        </w:tc>
        <w:tc>
          <w:tcPr>
            <w:tcW w:type="dxa" w:w="171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Platform / Compliance; Release + monthly</w:t>
            </w:r>
          </w:p>
        </w:tc>
      </w:tr>
      <w:tr>
        <w:tc>
          <w:tcPr>
            <w:tcW w:type="dxa" w:w="6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PR-01</w:t>
            </w:r>
          </w:p>
        </w:tc>
        <w:tc>
          <w:tcPr>
            <w:tcW w:type="dxa" w:w="1517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PII/PHI protection</w:t>
            </w:r>
          </w:p>
        </w:tc>
        <w:tc>
          <w:tcPr>
            <w:tcW w:type="dxa" w:w="297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8"/>
              </w:rPr>
              <w:t>PII/PHI where applicable; encryption, masking, protected-field access logging, retention and redaction.</w:t>
            </w:r>
          </w:p>
        </w:tc>
        <w:tc>
          <w:tcPr>
            <w:tcW w:type="dxa" w:w="2529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Encryption evidence, masking test, retention policy.</w:t>
            </w:r>
          </w:p>
        </w:tc>
        <w:tc>
          <w:tcPr>
            <w:tcW w:type="dxa" w:w="171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Security / Data; Release + annual</w:t>
            </w:r>
          </w:p>
        </w:tc>
      </w:tr>
      <w:tr>
        <w:tc>
          <w:tcPr>
            <w:tcW w:type="dxa" w:w="6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IR-01</w:t>
            </w:r>
          </w:p>
        </w:tc>
        <w:tc>
          <w:tcPr>
            <w:tcW w:type="dxa" w:w="1517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Incident response</w:t>
            </w:r>
          </w:p>
        </w:tc>
        <w:tc>
          <w:tcPr>
            <w:tcW w:type="dxa" w:w="297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Alert triage, incident runbook, communications, tabletop, post-incident record.</w:t>
            </w:r>
          </w:p>
        </w:tc>
        <w:tc>
          <w:tcPr>
            <w:tcW w:type="dxa" w:w="2529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Runbook, tabletop record, incident sample.</w:t>
            </w:r>
          </w:p>
        </w:tc>
        <w:tc>
          <w:tcPr>
            <w:tcW w:type="dxa" w:w="171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SecOps; Annual + event-driven</w:t>
            </w:r>
          </w:p>
        </w:tc>
      </w:tr>
      <w:tr>
        <w:tc>
          <w:tcPr>
            <w:tcW w:type="dxa" w:w="6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BC-01</w:t>
            </w:r>
          </w:p>
        </w:tc>
        <w:tc>
          <w:tcPr>
            <w:tcW w:type="dxa" w:w="1517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Continuity and recovery</w:t>
            </w:r>
          </w:p>
        </w:tc>
        <w:tc>
          <w:tcPr>
            <w:tcW w:type="dxa" w:w="297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Backup, restore test, RTO/RPO, data retention, recovery evidence.</w:t>
            </w:r>
          </w:p>
        </w:tc>
        <w:tc>
          <w:tcPr>
            <w:tcW w:type="dxa" w:w="2529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Backup job, restore test, DR exercise.</w:t>
            </w:r>
          </w:p>
        </w:tc>
        <w:tc>
          <w:tcPr>
            <w:tcW w:type="dxa" w:w="171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Operations; Scheduled</w:t>
            </w:r>
          </w:p>
        </w:tc>
      </w:tr>
      <w:tr>
        <w:tc>
          <w:tcPr>
            <w:tcW w:type="dxa" w:w="6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TP-01</w:t>
            </w:r>
          </w:p>
        </w:tc>
        <w:tc>
          <w:tcPr>
            <w:tcW w:type="dxa" w:w="1517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Third-party / integration</w:t>
            </w:r>
          </w:p>
        </w:tc>
        <w:tc>
          <w:tcPr>
            <w:tcW w:type="dxa" w:w="297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CMS Hub, EDI files, carrier handoffs, or partner connectivity where in scope.</w:t>
            </w:r>
          </w:p>
        </w:tc>
        <w:tc>
          <w:tcPr>
            <w:tcW w:type="dxa" w:w="2529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API contract test, EDI acknowledgment, partner cert.</w:t>
            </w:r>
          </w:p>
        </w:tc>
        <w:tc>
          <w:tcPr>
            <w:tcW w:type="dxa" w:w="171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Integration; Release</w:t>
            </w:r>
          </w:p>
        </w:tc>
      </w:tr>
    </w:tbl>
    <w:p>
      <w:pPr>
        <w:pStyle w:val="Heading1"/>
      </w:pPr>
      <w:r>
        <w:t>Evidence quality rules</w:t>
      </w:r>
    </w:p>
    <w:p>
      <w:pPr>
        <w:pStyle w:val="ListBullet"/>
        <w:spacing w:after="100"/>
        <w:ind w:left="648" w:hanging="288"/>
      </w:pPr>
      <w:r>
        <w:t xml:space="preserve"> Evidence should be dated and tied to the release, environment, control, or operating period under review.</w:t>
      </w:r>
    </w:p>
    <w:p>
      <w:pPr>
        <w:pStyle w:val="ListBullet"/>
        <w:spacing w:after="100"/>
        <w:ind w:left="648" w:hanging="288"/>
      </w:pPr>
      <w:r>
        <w:t xml:space="preserve"> Evidence should show the result and the disposition, not only that a tool was run.</w:t>
      </w:r>
    </w:p>
    <w:p>
      <w:pPr>
        <w:pStyle w:val="ListBullet"/>
        <w:spacing w:after="100"/>
        <w:ind w:left="648" w:hanging="288"/>
      </w:pPr>
      <w:r>
        <w:t xml:space="preserve"> Critical and high findings should be remediated or formally accepted with compensating controls, owner, expiry, and monitoring.</w:t>
      </w:r>
    </w:p>
    <w:p>
      <w:pPr>
        <w:pStyle w:val="ListBullet"/>
        <w:spacing w:after="100"/>
        <w:ind w:left="648" w:hanging="288"/>
      </w:pPr>
      <w:r>
        <w:t xml:space="preserve"> Screenshots are acceptable only when they show the relevant configuration, timestamp, source system, and owner context.</w:t>
      </w:r>
    </w:p>
    <w:p>
      <w:pPr>
        <w:pStyle w:val="ListBullet"/>
        <w:spacing w:after="100"/>
        <w:ind w:left="648" w:hanging="288"/>
      </w:pPr>
      <w:r>
        <w:t xml:space="preserve"> For production review, avoid claiming completion for controls that only exist as target design or roadmap work.</w:t>
      </w:r>
    </w:p>
    <w:p>
      <w:pPr>
        <w:pStyle w:val="Heading1"/>
      </w:pPr>
      <w:r>
        <w:t>Recommended evidence folder structure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4968"/>
        <w:gridCol w:w="4968"/>
      </w:tblGrid>
      <w:tr>
        <w:trPr>
          <w:tblHeader w:val="true"/>
        </w:trPr>
        <w:tc>
          <w:tcPr>
            <w:tcW w:type="dxa" w:w="241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Folder</w:t>
            </w:r>
          </w:p>
        </w:tc>
        <w:tc>
          <w:tcPr>
            <w:tcW w:type="dxa" w:w="694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Contents</w:t>
            </w:r>
          </w:p>
        </w:tc>
      </w:tr>
      <w:tr>
        <w:tc>
          <w:tcPr>
            <w:tcW w:type="dxa" w:w="241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01 Architecture</w:t>
            </w:r>
          </w:p>
        </w:tc>
        <w:tc>
          <w:tcPr>
            <w:tcW w:type="dxa" w:w="694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Security architecture, data flow, trust boundaries, threat model, ADRs.</w:t>
            </w:r>
          </w:p>
        </w:tc>
      </w:tr>
      <w:tr>
        <w:tc>
          <w:tcPr>
            <w:tcW w:type="dxa" w:w="241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02 Identity and access</w:t>
            </w:r>
          </w:p>
        </w:tc>
        <w:tc>
          <w:tcPr>
            <w:tcW w:type="dxa" w:w="694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SSO/MFA report, access review, role matrix, privileged access logs.</w:t>
            </w:r>
          </w:p>
        </w:tc>
      </w:tr>
      <w:tr>
        <w:tc>
          <w:tcPr>
            <w:tcW w:type="dxa" w:w="241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03 Application security</w:t>
            </w:r>
          </w:p>
        </w:tc>
        <w:tc>
          <w:tcPr>
            <w:tcW w:type="dxa" w:w="694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SAST, DAST, SCA, secrets scan, code review, secure header tests.</w:t>
            </w:r>
          </w:p>
        </w:tc>
      </w:tr>
      <w:tr>
        <w:tc>
          <w:tcPr>
            <w:tcW w:type="dxa" w:w="241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04 Infrastructure security</w:t>
            </w:r>
          </w:p>
        </w:tc>
        <w:tc>
          <w:tcPr>
            <w:tcW w:type="dxa" w:w="694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8"/>
              </w:rPr>
              <w:t>WAF/DNS/TLS/load balancer evidence, vulnerability report, endpoint posture, container/IaC scans.</w:t>
            </w:r>
          </w:p>
        </w:tc>
      </w:tr>
      <w:tr>
        <w:tc>
          <w:tcPr>
            <w:tcW w:type="dxa" w:w="241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05 EDE and integration</w:t>
            </w:r>
          </w:p>
        </w:tc>
        <w:tc>
          <w:tcPr>
            <w:tcW w:type="dxa" w:w="694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CMS/EDE evidence where in scope, contract tests, idempotency test, EDI records.</w:t>
            </w:r>
          </w:p>
        </w:tc>
      </w:tr>
      <w:tr>
        <w:tc>
          <w:tcPr>
            <w:tcW w:type="dxa" w:w="241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06 Remediation and risk</w:t>
            </w:r>
          </w:p>
        </w:tc>
        <w:tc>
          <w:tcPr>
            <w:tcW w:type="dxa" w:w="694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Findings register, POA&amp;M, exceptions, compensating controls, closure evidence.</w:t>
            </w:r>
          </w:p>
        </w:tc>
      </w:tr>
      <w:tr>
        <w:tc>
          <w:tcPr>
            <w:tcW w:type="dxa" w:w="241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07 Release approval</w:t>
            </w:r>
          </w:p>
        </w:tc>
        <w:tc>
          <w:tcPr>
            <w:tcW w:type="dxa" w:w="694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Release checklist, CAB/security approval, go/no-go decision, production monitoring plan.</w:t>
            </w:r>
          </w:p>
        </w:tc>
      </w:tr>
    </w:tbl>
    <w:p>
      <w:pPr>
        <w:pStyle w:val="Heading1"/>
      </w:pPr>
      <w:r>
        <w:t>Reference anchors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3312"/>
        <w:gridCol w:w="3312"/>
        <w:gridCol w:w="3312"/>
      </w:tblGrid>
      <w:tr>
        <w:trPr>
          <w:tblHeader w:val="true"/>
        </w:trP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Reference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Use in review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8FAFC"/>
          </w:tcPr>
          <w:p>
            <w:pPr>
              <w:spacing w:after="40"/>
            </w:pPr>
            <w:r>
              <w:rPr>
                <w:rFonts w:ascii="Arial" w:hAnsi="Arial"/>
                <w:b/>
                <w:color w:val="111827"/>
                <w:sz w:val="19"/>
              </w:rPr>
              <w:t>URL</w:t>
            </w:r>
          </w:p>
        </w:tc>
      </w:tr>
      <w:t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NIST SP 800-207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Zero Trust Architecture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https://csrc.nist.gov/pubs/sp/800/207/final</w:t>
            </w:r>
          </w:p>
        </w:tc>
      </w:tr>
      <w:t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NIST SP 800-218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Secure Software Development Framework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https://csrc.nist.gov/pubs/sp/800/218/final</w:t>
            </w:r>
          </w:p>
        </w:tc>
      </w:tr>
      <w:t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NIST SP 800-53 Rev. 5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Security and privacy control catalog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https://csrc.nist.gov/pubs/sp/800/53/r5/upd1/final</w:t>
            </w:r>
          </w:p>
        </w:tc>
      </w:tr>
      <w:t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HHS HIPAA Security Rule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Administrative, physical, and technical safeguards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https://www.hhs.gov/hipaa/for-professionals/security/laws-regulations/index.html</w:t>
            </w:r>
          </w:p>
        </w:tc>
      </w:tr>
      <w:t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CMS EDE guidance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Enhanced Direct Enrollment and audit expectations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8"/>
              </w:rPr>
              <w:t>https://www.cms.gov/marketplace-private-insurance/agents-brokers/enhanced-direct-enrollment</w:t>
            </w:r>
          </w:p>
        </w:tc>
      </w:tr>
      <w:tr>
        <w:tc>
          <w:tcPr>
            <w:tcW w:type="dxa" w:w="1950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OWASP ASVS / Top 10</w:t>
            </w:r>
          </w:p>
        </w:tc>
        <w:tc>
          <w:tcPr>
            <w:tcW w:type="dxa" w:w="3432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Application security verification and common risk categories</w:t>
            </w:r>
          </w:p>
        </w:tc>
        <w:tc>
          <w:tcPr>
            <w:tcW w:type="dxa" w:w="3978"/>
            <w:vAlign w:val="center"/>
            <w:tcBorders>
              <w:top w:val="single" w:sz="6" w:space="0" w:color="CBD5E1"/>
              <w:left w:val="single" w:sz="6" w:space="0" w:color="CBD5E1"/>
              <w:bottom w:val="single" w:sz="6" w:space="0" w:color="CBD5E1"/>
              <w:right w:val="single" w:sz="6" w:space="0" w:color="CBD5E1"/>
            </w:tcBorders>
            <w:shd w:fill="FFFFFF"/>
          </w:tcPr>
          <w:p>
            <w:pPr>
              <w:spacing w:after="40"/>
            </w:pPr>
            <w:r>
              <w:rPr>
                <w:rFonts w:ascii="Arial" w:hAnsi="Arial"/>
                <w:color w:val="111827"/>
                <w:sz w:val="19"/>
              </w:rPr>
              <w:t>https://owasp.org/www-project-application-security-verification-standard/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rial" w:hAnsi="Arial"/>
        <w:color w:val="64748B"/>
        <w:sz w:val="16"/>
      </w:rPr>
      <w:t xml:space="preserve">Page </w:t>
    </w:r>
    <w:r>
      <w:rPr>
        <w:rFonts w:ascii="Arial" w:hAnsi="Arial"/>
        <w:color w:val="64748B"/>
        <w:sz w:val="16"/>
      </w:rPr>
      <w:fldChar w:fldCharType="begin"/>
      <w:instrText xml:space="preserve">PAGE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CBD5E1"/>
      </w:pBdr>
    </w:pPr>
    <w:r>
      <w:rPr>
        <w:rFonts w:ascii="Arial" w:hAnsi="Arial"/>
        <w:b/>
        <w:color w:val="64748B"/>
        <w:sz w:val="16"/>
      </w:rPr>
      <w:t>BrokerPortal Security Controls and Evidence Matrix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rial" w:hAnsi="Arial"/>
      <w:color w:val="111827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111827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rial" w:hAnsi="Arial"/>
      <w:b/>
      <w:bCs/>
      <w:color w:val="11182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80"/>
      <w:outlineLvl w:val="2"/>
    </w:pPr>
    <w:rPr>
      <w:rFonts w:asciiTheme="majorHAnsi" w:eastAsiaTheme="majorEastAsia" w:hAnsiTheme="majorHAnsi" w:cstheme="majorBidi" w:ascii="Arial" w:hAnsi="Arial"/>
      <w:b/>
      <w:bCs/>
      <w:color w:val="11182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11827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