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BrokerPortal Security Testing and Release Evidence Checklist</w:t>
      </w:r>
    </w:p>
    <w:p>
      <w:pPr>
        <w:spacing w:after="200"/>
      </w:pPr>
      <w:r>
        <w:rPr>
          <w:rFonts w:ascii="Arial" w:hAnsi="Arial"/>
          <w:color w:val="334155"/>
          <w:sz w:val="22"/>
        </w:rPr>
        <w:t>A release-oriented checklist for documenting security validation, remediation, approvals, and evidence readiness for BrokerPortal.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4968"/>
        <w:gridCol w:w="4968"/>
      </w:tblGrid>
      <w:tr>
        <w:trPr>
          <w:tblHeader w:val="true"/>
        </w:trPr>
        <w:tc>
          <w:tcPr>
            <w:tcW w:type="dxa" w:w="2246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E7EE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Prepared for</w:t>
            </w:r>
          </w:p>
        </w:tc>
        <w:tc>
          <w:tcPr>
            <w:tcW w:type="dxa" w:w="7114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E7EE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WHPS BrokerPortal / BrokerLink security review</w:t>
            </w:r>
          </w:p>
        </w:tc>
      </w:tr>
      <w:tr>
        <w:tc>
          <w:tcPr>
            <w:tcW w:type="dxa" w:w="2246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Document status</w:t>
            </w:r>
          </w:p>
        </w:tc>
        <w:tc>
          <w:tcPr>
            <w:tcW w:type="dxa" w:w="7114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Controlled review draft; operating effectiveness requires dated evidence artifacts</w:t>
            </w:r>
          </w:p>
        </w:tc>
      </w:tr>
      <w:tr>
        <w:tc>
          <w:tcPr>
            <w:tcW w:type="dxa" w:w="2246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Prepared date</w:t>
            </w:r>
          </w:p>
        </w:tc>
        <w:tc>
          <w:tcPr>
            <w:tcW w:type="dxa" w:w="7114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May 14, 2026</w:t>
            </w:r>
          </w:p>
        </w:tc>
      </w:tr>
    </w:tbl>
    <w:p/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9936"/>
      </w:tblGrid>
      <w:tr>
        <w:trPr>
          <w:tblHeader w:val="true"/>
        </w:trPr>
        <w:tc>
          <w:tcPr>
            <w:tcW w:type="dxa" w:w="9360"/>
            <w:shd w:fill="F8EAD0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vAlign w:val="center"/>
            <w:shd w:fill="F8EAD0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Evidence boundary</w:t>
            </w:r>
          </w:p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This checklist defines the evidence expected for a release review. It should be populated with actual scan outputs, test results, approvals, and remediation records before controls are represented as complete.</w:t>
            </w:r>
          </w:p>
        </w:tc>
      </w:tr>
    </w:tbl>
    <w:p/>
    <w:p>
      <w:pPr>
        <w:pStyle w:val="Heading1"/>
      </w:pPr>
      <w:r>
        <w:t>Testing and release gate flow</w:t>
      </w:r>
    </w:p>
    <w:p>
      <w:r>
        <w:drawing>
          <wp:inline xmlns:a="http://schemas.openxmlformats.org/drawingml/2006/main" xmlns:pic="http://schemas.openxmlformats.org/drawingml/2006/picture">
            <wp:extent cx="6400800" cy="348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rokerportal_testing_release_gat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84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Figure 1. Testing and release gate evidence flow.</w:t>
      </w:r>
    </w:p>
    <w:p>
      <w:pPr>
        <w:pStyle w:val="Heading1"/>
      </w:pPr>
      <w:r>
        <w:t>Minimum evidence checklist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2484"/>
        <w:gridCol w:w="2484"/>
        <w:gridCol w:w="2484"/>
        <w:gridCol w:w="2484"/>
      </w:tblGrid>
      <w:tr>
        <w:trPr>
          <w:tblHeader w:val="true"/>
        </w:trP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EAD0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Evidence item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EAD0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What it validates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EAD0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Artifact to attach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EAD0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Readiness</w:t>
            </w:r>
          </w:p>
        </w:tc>
      </w:tr>
      <w:t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Threat model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Architecture, trust boundaries, data classification, abuse cases, mitigations.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Threat model record approved by architecture and security.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Required</w:t>
            </w:r>
          </w:p>
        </w:tc>
      </w:tr>
      <w:t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SAST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Code vulnerabilities, injection, auth misuse, unsafe patterns.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Tool report, triage, remediation tickets.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Required</w:t>
            </w:r>
          </w:p>
        </w:tc>
      </w:tr>
      <w:t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SCA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Open-source dependency risk and license exposure.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Dependency report, critical/high disposition.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Required</w:t>
            </w:r>
          </w:p>
        </w:tc>
      </w:tr>
      <w:t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Secrets scan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Hardcoded secrets, tokens, keys, certificates.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Scan result and any revocation/rotation evidence.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Required</w:t>
            </w:r>
          </w:p>
        </w:tc>
      </w:tr>
      <w:t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DAST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Runtime web/API findings, auth/session, headers, OWASP issues.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DAST report, retest evidence.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Required before production</w:t>
            </w:r>
          </w:p>
        </w:tc>
      </w:tr>
      <w:t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IaC/container scan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Infrastructure drift, container baseline, exposed services.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Scan report and remediation record.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Required when in scope</w:t>
            </w:r>
          </w:p>
        </w:tc>
      </w:tr>
      <w:t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Vulnerability scan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Network and host posture.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Scan report and remediation/exception register.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Required before production</w:t>
            </w:r>
          </w:p>
        </w:tc>
      </w:tr>
      <w:t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Pen test / red team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Manual exploitation, business logic, auth bypass, chained findings.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Attestation, findings, retest closure.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Required by policy</w:t>
            </w:r>
          </w:p>
        </w:tc>
      </w:tr>
      <w:t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Access review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Users, roles, MFA, privileged access, support break-glass.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Access review signoff and exception list.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Required</w:t>
            </w:r>
          </w:p>
        </w:tc>
      </w:tr>
      <w:tr>
        <w:tc>
          <w:tcPr>
            <w:tcW w:type="dxa" w:w="190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Release approval</w:t>
            </w:r>
          </w:p>
        </w:tc>
        <w:tc>
          <w:tcPr>
            <w:tcW w:type="dxa" w:w="3043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Open findings, exceptions, monitoring, rollback, support readiness.</w:t>
            </w:r>
          </w:p>
        </w:tc>
        <w:tc>
          <w:tcPr>
            <w:tcW w:type="dxa" w:w="312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Security release approval / CAB record.</w:t>
            </w:r>
          </w:p>
        </w:tc>
        <w:tc>
          <w:tcPr>
            <w:tcW w:type="dxa" w:w="12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Required</w:t>
            </w:r>
          </w:p>
        </w:tc>
      </w:tr>
    </w:tbl>
    <w:p>
      <w:pPr>
        <w:pStyle w:val="Heading1"/>
      </w:pPr>
      <w:r>
        <w:t>Release decision criteria</w:t>
      </w:r>
    </w:p>
    <w:p>
      <w:pPr>
        <w:pStyle w:val="ListBullet"/>
        <w:spacing w:after="100"/>
        <w:ind w:left="648" w:hanging="288"/>
      </w:pPr>
      <w:r>
        <w:t xml:space="preserve"> No unresolved critical findings should remain at production release.</w:t>
      </w:r>
    </w:p>
    <w:p>
      <w:pPr>
        <w:pStyle w:val="ListBullet"/>
        <w:spacing w:after="100"/>
        <w:ind w:left="648" w:hanging="288"/>
      </w:pPr>
      <w:r>
        <w:t xml:space="preserve"> High findings should be remediated or formally accepted with compensating controls, owner, expiration date, and monitoring.</w:t>
      </w:r>
    </w:p>
    <w:p>
      <w:pPr>
        <w:pStyle w:val="ListBullet"/>
        <w:spacing w:after="100"/>
        <w:ind w:left="648" w:hanging="288"/>
      </w:pPr>
      <w:r>
        <w:t xml:space="preserve"> Medium findings should have an owner, target date, and risk disposition.</w:t>
      </w:r>
    </w:p>
    <w:p>
      <w:pPr>
        <w:pStyle w:val="ListBullet"/>
        <w:spacing w:after="100"/>
        <w:ind w:left="648" w:hanging="288"/>
      </w:pPr>
      <w:r>
        <w:t xml:space="preserve"> Access control, MFA, broker/agency scope, protected-data masking, and audit logging should have explicit test evidence.</w:t>
      </w:r>
    </w:p>
    <w:p>
      <w:pPr>
        <w:pStyle w:val="ListBullet"/>
        <w:spacing w:after="100"/>
        <w:ind w:left="648" w:hanging="288"/>
      </w:pPr>
      <w:r>
        <w:t xml:space="preserve"> Every security exception should be visible in the release decision and tracked in the POA&amp;M or remediation register.</w:t>
      </w:r>
    </w:p>
    <w:p>
      <w:pPr>
        <w:pStyle w:val="Heading1"/>
      </w:pPr>
      <w:r>
        <w:t>Remediation register template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1987"/>
        <w:gridCol w:w="1987"/>
        <w:gridCol w:w="1987"/>
        <w:gridCol w:w="1987"/>
        <w:gridCol w:w="1987"/>
      </w:tblGrid>
      <w:tr>
        <w:trPr>
          <w:tblHeader w:val="true"/>
        </w:trPr>
        <w:tc>
          <w:tcPr>
            <w:tcW w:type="dxa" w:w="14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Finding</w:t>
            </w:r>
          </w:p>
        </w:tc>
        <w:tc>
          <w:tcPr>
            <w:tcW w:type="dxa" w:w="110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Severity</w:t>
            </w:r>
          </w:p>
        </w:tc>
        <w:tc>
          <w:tcPr>
            <w:tcW w:type="dxa" w:w="214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Source</w:t>
            </w:r>
          </w:p>
        </w:tc>
        <w:tc>
          <w:tcPr>
            <w:tcW w:type="dxa" w:w="247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Disposition / owner</w:t>
            </w:r>
          </w:p>
        </w:tc>
        <w:tc>
          <w:tcPr>
            <w:tcW w:type="dxa" w:w="214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Evidence / due date</w:t>
            </w:r>
          </w:p>
        </w:tc>
      </w:tr>
      <w:tr>
        <w:tc>
          <w:tcPr>
            <w:tcW w:type="dxa" w:w="149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TBD</w:t>
            </w:r>
          </w:p>
        </w:tc>
        <w:tc>
          <w:tcPr>
            <w:tcW w:type="dxa" w:w="110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TBD</w:t>
            </w:r>
          </w:p>
        </w:tc>
        <w:tc>
          <w:tcPr>
            <w:tcW w:type="dxa" w:w="214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SAST / DAST / vulnerability scan / pen test / access review</w:t>
            </w:r>
          </w:p>
        </w:tc>
        <w:tc>
          <w:tcPr>
            <w:tcW w:type="dxa" w:w="247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Fix / accept / defer with compensating control; owner assigned</w:t>
            </w:r>
          </w:p>
        </w:tc>
        <w:tc>
          <w:tcPr>
            <w:tcW w:type="dxa" w:w="2145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Ticket, retest, approval, report; due date</w:t>
            </w:r>
          </w:p>
        </w:tc>
      </w:tr>
    </w:tbl>
    <w:p>
      <w:pPr>
        <w:pStyle w:val="Heading1"/>
      </w:pPr>
      <w:r>
        <w:t>Evidence pending status</w:t>
      </w:r>
    </w:p>
    <w:p>
      <w:pPr>
        <w:pStyle w:val="ListBullet"/>
        <w:spacing w:after="100"/>
        <w:ind w:left="648" w:hanging="288"/>
      </w:pPr>
      <w:r>
        <w:t xml:space="preserve"> Architecture and control model are documented.</w:t>
      </w:r>
    </w:p>
    <w:p>
      <w:pPr>
        <w:pStyle w:val="ListBullet"/>
        <w:spacing w:after="100"/>
        <w:ind w:left="648" w:hanging="288"/>
      </w:pPr>
      <w:r>
        <w:t xml:space="preserve"> The evidence register identifies each required proof artifact, owner, and cadence.</w:t>
      </w:r>
    </w:p>
    <w:p>
      <w:pPr>
        <w:pStyle w:val="ListBullet"/>
        <w:spacing w:after="100"/>
        <w:ind w:left="648" w:hanging="288"/>
      </w:pPr>
      <w:r>
        <w:t xml:space="preserve"> Security validation artifacts are attached as they are completed and reviewed.</w:t>
      </w:r>
    </w:p>
    <w:p>
      <w:pPr>
        <w:pStyle w:val="ListBullet"/>
        <w:spacing w:after="100"/>
        <w:ind w:left="648" w:hanging="288"/>
      </w:pPr>
      <w:r>
        <w:t xml:space="preserve"> Controls without evidence remain target-state controls until evidence is approved.</w:t>
      </w:r>
    </w:p>
    <w:p>
      <w:pPr>
        <w:pStyle w:val="Heading1"/>
      </w:pPr>
      <w:r>
        <w:t>Reference anchors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3312"/>
        <w:gridCol w:w="3312"/>
        <w:gridCol w:w="3312"/>
      </w:tblGrid>
      <w:tr>
        <w:trPr>
          <w:tblHeader w:val="true"/>
        </w:trP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Reference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Use in review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URL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NIST SP 800-207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Zero Trust Architecture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https://csrc.nist.gov/pubs/sp/800/207/final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NIST SP 800-218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Secure Software Development Framework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https://csrc.nist.gov/pubs/sp/800/218/final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NIST SP 800-53 Rev. 5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Security and privacy control catalog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https://csrc.nist.gov/pubs/sp/800/53/r5/upd1/final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HHS HIPAA Security Rule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Administrative, physical, and technical safeguards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https://www.hhs.gov/hipaa/for-professionals/security/laws-regulations/index.html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CMS EDE guidance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Enhanced Direct Enrollment and audit expectations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8"/>
              </w:rPr>
              <w:t>https://www.cms.gov/marketplace-private-insurance/agents-brokers/enhanced-direct-enrollment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OWASP ASVS / Top 10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Application security verification and common risk categories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https://owasp.org/www-project-application-security-verification-standard/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rial" w:hAnsi="Arial"/>
        <w:color w:val="64748B"/>
        <w:sz w:val="16"/>
      </w:rPr>
      <w:t xml:space="preserve">Page </w:t>
    </w:r>
    <w:r>
      <w:rPr>
        <w:rFonts w:ascii="Arial" w:hAnsi="Arial"/>
        <w:color w:val="64748B"/>
        <w:sz w:val="16"/>
      </w:rPr>
      <w:fldChar w:fldCharType="begin"/>
      <w:instrText xml:space="preserve">PAGE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CBD5E1"/>
      </w:pBdr>
    </w:pPr>
    <w:r>
      <w:rPr>
        <w:rFonts w:ascii="Arial" w:hAnsi="Arial"/>
        <w:b/>
        <w:color w:val="64748B"/>
        <w:sz w:val="16"/>
      </w:rPr>
      <w:t>BrokerPortal Security Testing and Release Evidence Checklist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rial" w:hAnsi="Arial"/>
      <w:color w:val="11182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11827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11182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11182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11827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