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0"/>
      </w:pPr>
    </w:p>
    <w:p>
      <w:pPr>
        <w:spacing w:after="100"/>
        <w:jc w:val="center"/>
      </w:pPr>
      <w:r>
        <w:rPr>
          <w:rFonts w:ascii="Arial" w:cs="Arial" w:eastAsia="Arial" w:hAnsi="Arial"/>
          <w:b/>
          <w:bCs/>
          <w:caps/>
          <w:color w:val="CB4335"/>
          <w:sz w:val="20"/>
          <w:szCs w:val="20"/>
        </w:rPr>
        <w:t xml:space="preserve">CONFIDENTIAL</w:t>
      </w:r>
    </w:p>
    <w:p>
      <w:pPr>
        <w:spacing w:after="400"/>
      </w:pP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1A5276"/>
          <w:sz w:val="56"/>
          <w:szCs w:val="56"/>
        </w:rPr>
        <w:t>HPS AgentLink</w:t>
      </w:r>
    </w:p>
    <w:p>
      <w:pPr>
        <w:spacing w:after="100"/>
        <w:jc w:val="center"/>
      </w:pPr>
      <w:r>
        <w:rPr>
          <w:rFonts w:ascii="Arial" w:cs="Arial" w:eastAsia="Arial" w:hAnsi="Arial"/>
          <w:color w:val="2E86C1"/>
          <w:sz w:val="32"/>
          <w:szCs w:val="32"/>
        </w:rPr>
        <w:t xml:space="preserve">Broker Portal Platform</w:t>
      </w:r>
    </w:p>
    <w:p>
      <w:pPr>
        <w:spacing w:after="200"/>
      </w:pPr>
    </w:p>
    <w:p>
      <w:pPr>
        <w:pBdr>
          <w:bottom w:val="single" w:color="2E86C1" w:sz="6" w:space="1"/>
        </w:pBdr>
        <w:spacing w:after="300"/>
        <w:jc w:val="center"/>
      </w:pPr>
    </w:p>
    <w:p>
      <w:pPr>
        <w:spacing w:after="100"/>
      </w:pPr>
    </w:p>
    <w:p>
      <w:pPr>
        <w:spacing w:after="100"/>
        <w:jc w:val="center"/>
      </w:pPr>
      <w:r>
        <w:rPr>
          <w:rFonts w:ascii="Arial" w:cs="Arial" w:eastAsia="Arial" w:hAnsi="Arial"/>
          <w:b/>
          <w:bCs/>
          <w:color w:val="2C3E50"/>
          <w:sz w:val="40"/>
          <w:szCs w:val="40"/>
        </w:rPr>
        <w:t xml:space="preserve">CMS EDE Certification</w:t>
      </w:r>
    </w:p>
    <w:p>
      <w:pPr>
        <w:spacing w:after="100"/>
        <w:jc w:val="center"/>
      </w:pPr>
      <w:r>
        <w:rPr>
          <w:rFonts w:ascii="Arial" w:cs="Arial" w:eastAsia="Arial" w:hAnsi="Arial"/>
          <w:color w:val="2C3E50"/>
          <w:sz w:val="36"/>
          <w:szCs w:val="36"/>
        </w:rPr>
        <w:t xml:space="preserve">Gap Analysis &amp; Implementation Report</w:t>
      </w:r>
    </w:p>
    <w:p>
      <w:pPr>
        <w:spacing w:after="300"/>
      </w:pPr>
    </w:p>
    <w:p>
      <w:pPr>
        <w:spacing w:after="80"/>
        <w:jc w:val="center"/>
      </w:pPr>
      <w:r>
        <w:rPr>
          <w:rFonts w:ascii="Arial" w:cs="Arial" w:eastAsia="Arial" w:hAnsi="Arial"/>
          <w:color w:val="566573"/>
          <w:sz w:val="22"/>
          <w:szCs w:val="22"/>
        </w:rPr>
        <w:t xml:space="preserve">Prepared for: Centers for Medicare &amp; Medicaid Services (CMS)</w:t>
      </w:r>
    </w:p>
    <w:p>
      <w:pPr>
        <w:spacing w:after="80"/>
        <w:jc w:val="center"/>
      </w:pPr>
      <w:r>
        <w:rPr>
          <w:rFonts w:ascii="Arial" w:cs="Arial" w:eastAsia="Arial" w:hAnsi="Arial"/>
          <w:color w:val="566573"/>
          <w:sz w:val="22"/>
          <w:szCs w:val="22"/>
        </w:rPr>
        <w:t xml:space="preserve">EDE Partner Certification Review</w:t>
      </w:r>
    </w:p>
    <w:p>
      <w:pPr>
        <w:spacing w:after="200"/>
      </w:pPr>
    </w:p>
    <w:p>
      <w:pPr>
        <w:spacing w:after="80"/>
        <w:jc w:val="center"/>
      </w:pPr>
      <w:r>
        <w:rPr>
          <w:rFonts w:ascii="Arial" w:cs="Arial" w:eastAsia="Arial" w:hAnsi="Arial"/>
          <w:color w:val="7F8C8D"/>
          <w:sz w:val="20"/>
          <w:szCs w:val="20"/>
        </w:rPr>
        <w:t xml:space="preserve">Document Version: 1.0</w:t>
      </w:r>
    </w:p>
    <w:p>
      <w:pPr>
        <w:spacing w:after="80"/>
        <w:jc w:val="center"/>
      </w:pPr>
      <w:r>
        <w:rPr>
          <w:rFonts w:ascii="Arial" w:cs="Arial" w:eastAsia="Arial" w:hAnsi="Arial"/>
          <w:color w:val="7F8C8D"/>
          <w:sz w:val="20"/>
          <w:szCs w:val="20"/>
        </w:rPr>
        <w:t xml:space="preserve">Date: March 20, 2026</w:t>
      </w:r>
    </w:p>
    <w:p>
      <w:pPr>
        <w:spacing w:after="80"/>
        <w:jc w:val="center"/>
      </w:pPr>
      <w:r>
        <w:rPr>
          <w:rFonts w:ascii="Arial" w:cs="Arial" w:eastAsia="Arial" w:hAnsi="Arial"/>
          <w:color w:val="7F8C8D"/>
          <w:sz w:val="20"/>
          <w:szCs w:val="20"/>
        </w:rPr>
        <w:t xml:space="preserve">Classification: Confidential</w:t>
      </w:r>
    </w:p>
    <w:p>
      <w:r>
        <w:br w:type="page"/>
      </w:r>
    </w:p>
    <w:p>
      <w:pPr>
        <w:pStyle w:val="Heading1"/>
      </w:pPr>
      <w:bookmarkStart w:name="doccontrol" w:id="1"/>
      <w:r>
        <w:t xml:space="preserve">Document Control</w:t>
      </w:r>
      <w:bookmarkEnd w:id="1"/>
    </w:p>
    <w:p>
      <w:pPr>
        <w:spacing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2800"/>
        <w:gridCol w:w="2160"/>
      </w:tblGrid>
      <w:tr>
        <w:tc>
          <w:tcPr>
            <w:tcW w:type="dxa" w:w="2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Version</w:t>
            </w:r>
          </w:p>
        </w:tc>
        <w:tc>
          <w:tcPr>
            <w:tcW w:type="dxa" w:w="2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Author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</w:tr>
      <w:tr>
        <w:tc>
          <w:tcPr>
            <w:tcW w:type="dxa" w:w="2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1.0</w:t>
            </w:r>
          </w:p>
        </w:tc>
        <w:tc>
          <w:tcPr>
            <w:tcW w:type="dxa" w:w="2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March 20, 2026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>HPS AgentLink Engineering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Final Draft</w:t>
            </w:r>
          </w:p>
        </w:tc>
      </w:tr>
    </w:tbl>
    <w:p>
      <w:pPr>
        <w:spacing w:after="300"/>
      </w:pPr>
    </w:p>
    <w:p>
      <w:pPr>
        <w:pStyle w:val="Heading2"/>
      </w:pPr>
      <w:r>
        <w:t xml:space="preserve">Distribution List</w:t>
      </w:r>
    </w:p>
    <w:p>
      <w:pPr>
        <w:spacing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Recipient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Organization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</w:tr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CMS EDE Certification Team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Centers for Medicare &amp; Medicaid Services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Certification Authority</w:t>
            </w:r>
          </w:p>
        </w:tc>
      </w:tr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>HPS AgentLink Executive Team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>HPS AgentLink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System Owner</w:t>
            </w:r>
          </w:p>
        </w:tc>
      </w:tr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CISO / Security Team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>HPS AgentLink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Security Oversight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Table of Contents</w:t>
      </w:r>
    </w:p>
    <w:p>
      <w:pPr>
        <w:spacing w:after="200"/>
      </w:pP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bookmarkStart w:name="execsummary" w:id="1"/>
      <w:r>
        <w:t xml:space="preserve">1. Executive Summary</w:t>
      </w:r>
      <w:bookmarkEnd w:id="1"/>
    </w:p>
    <w:p>
      <w:pPr>
        <w:spacing w:after="100"/>
      </w:pPr>
    </w:p>
    <w:p>
      <w:pPr>
        <w:pStyle w:val="Heading2"/>
      </w:pPr>
      <w:r>
        <w:t xml:space="preserve">1.1 Purpose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>This report presents a comprehensive gap analysis of the HPS AgentLink Broker Portal platform against the Centers for Medicare &amp; Medicaid Services (CMS) Enhanced Direct Enrollment (EDE) certification requirements. It documents the current implementation state, identifies areas of compliance and remaining gaps, and provides a remediation roadmap for achieving full EDE certification.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analysis is conducted against the following regulatory frameworks: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ARC-AMPE v1.02 </w:t>
      </w:r>
      <w:r>
        <w:rPr>
          <w:rFonts w:ascii="Arial" w:cs="Arial" w:eastAsia="Arial" w:hAnsi="Arial"/>
          <w:sz w:val="20"/>
          <w:szCs w:val="20"/>
        </w:rPr>
        <w:t xml:space="preserve">(Acceptable Risk Controls for Agents, Managed Partners, and Entities) — 402 controls across 19 NIST 800-53 Rev 5 control families, replacing the former MARS-E framework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45 CFR §155.220 </w:t>
      </w:r>
      <w:r>
        <w:rPr>
          <w:rFonts w:ascii="Arial" w:cs="Arial" w:eastAsia="Arial" w:hAnsi="Arial"/>
          <w:sz w:val="20"/>
          <w:szCs w:val="20"/>
        </w:rPr>
        <w:t xml:space="preserve">— Standards for web-broker entities participating in EDE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45 CFR §155.260 </w:t>
      </w:r>
      <w:r>
        <w:rPr>
          <w:rFonts w:ascii="Arial" w:cs="Arial" w:eastAsia="Arial" w:hAnsi="Arial"/>
          <w:sz w:val="20"/>
          <w:szCs w:val="20"/>
        </w:rPr>
        <w:t xml:space="preserve">— Privacy and security of personally identifiable information (PII)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CMS EDE Three-Phase Certification Process </w:t>
      </w:r>
      <w:r>
        <w:rPr>
          <w:rFonts w:ascii="Arial" w:cs="Arial" w:eastAsia="Arial" w:hAnsi="Arial"/>
          <w:sz w:val="20"/>
          <w:szCs w:val="20"/>
        </w:rPr>
        <w:t xml:space="preserve">— Documentation, Security Assessment, and Operational Readiness</w:t>
      </w:r>
    </w:p>
    <w:p>
      <w:pPr>
        <w:spacing w:after="100"/>
      </w:pPr>
    </w:p>
    <w:p>
      <w:pPr>
        <w:pStyle w:val="Heading2"/>
      </w:pPr>
      <w:r>
        <w:t xml:space="preserve">1.2 Overall Compliance Posture</w:t>
      </w:r>
    </w:p>
    <w:p>
      <w:pPr>
        <w:spacing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Metric</w:t>
            </w:r>
          </w:p>
        </w:tc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Value</w:t>
            </w:r>
          </w:p>
        </w:tc>
      </w:tr>
      <w:tr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Total EDE Requirements Tracked</w:t>
            </w:r>
          </w:p>
        </w:tc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90</w:t>
            </w:r>
          </w:p>
        </w:tc>
      </w:tr>
      <w:tr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Requirements Fully Met</w:t>
            </w:r>
          </w:p>
        </w:tc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82 (91%)</w:t>
            </w:r>
          </w:p>
        </w:tc>
      </w:tr>
      <w:tr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Partially Met (Application Layer)</w:t>
            </w:r>
          </w:p>
        </w:tc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6 (7%)</w:t>
            </w:r>
          </w:p>
        </w:tc>
      </w:tr>
      <w:tr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Addressed by Infrastructure (Tampa DC)</w:t>
            </w:r>
          </w:p>
        </w:tc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8</w:t>
            </w:r>
          </w:p>
        </w:tc>
      </w:tr>
      <w:tr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Remaining Application-Level Gaps</w:t>
            </w:r>
          </w:p>
        </w:tc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2</w:t>
            </w:r>
          </w:p>
        </w:tc>
      </w:tr>
      <w:tr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Effective Compliance Rate (with Infrastructure)</w:t>
            </w:r>
          </w:p>
        </w:tc>
        <w:tc>
          <w:tcPr>
            <w:tcW w:type="dxa" w:w="468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22"/>
                <w:szCs w:val="22"/>
              </w:rPr>
              <w:t xml:space="preserve">97%</w:t>
            </w:r>
          </w:p>
        </w:tc>
      </w:tr>
    </w:tbl>
    <w:p>
      <w:pPr>
        <w:spacing w:after="200"/>
      </w:pPr>
    </w:p>
    <w:p>
      <w:pPr>
        <w:pStyle w:val="Heading2"/>
      </w:pPr>
      <w:r>
        <w:t xml:space="preserve">1.3 Key Findings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>The HPS AgentLink Broker Portal demonstrates strong compliance readiness for CMS EDE certification. The application layer implements comprehensive controls for consumer consent management (C-CMS-02), three-way call documentation (effective 2024), Phase 1 screening, APTC/CSR eligibility display, broker assignment workflows, and full audit trail logging. Combined with the organization’s existing HITRUST-certified, PCI DSS-compliant, and SOC 2 Type II-audited Tampa datacenter infrastructure, the platform achieves a 97% effective compliance rate.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remaining gaps are primarily documentation deliverables (ARC-AMPE SSPP, ISA) and operational process formalization rather than technical deficiencies. The application architecture was purpose-built for EDE compliance, with all member PII stored exclusively on-premises in the organization’s CMS-compliant Tampa datacenter — no member data resides in any cloud environment.</w:t>
      </w:r>
    </w:p>
    <w:p>
      <w:r>
        <w:br w:type="page"/>
      </w:r>
    </w:p>
    <w:p>
      <w:pPr>
        <w:pStyle w:val="Heading1"/>
      </w:pPr>
      <w:bookmarkStart w:name="architecture" w:id="1"/>
      <w:r>
        <w:t xml:space="preserve">2. System Architecture &amp; Deployment</w:t>
      </w:r>
      <w:bookmarkEnd w:id="1"/>
    </w:p>
    <w:p>
      <w:pPr>
        <w:spacing w:after="100"/>
      </w:pPr>
    </w:p>
    <w:p>
      <w:pPr>
        <w:pStyle w:val="Heading2"/>
      </w:pPr>
      <w:r>
        <w:t xml:space="preserve">2.1 Architecture Overview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>HPS AgentLink is built as a modern Next.js application with server-side rendering, API routes, and a React-based frontend. The architecture enforces a strict separation between the presentation/application tier (which may be deployed on edge infrastructure for performance) and the data tier (which is exclusively on-premises).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Component</w:t>
            </w:r>
          </w:p>
        </w:tc>
        <w:tc>
          <w:tcPr>
            <w:tcW w:type="dxa" w:w="65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Frontend</w:t>
            </w:r>
          </w:p>
        </w:tc>
        <w:tc>
          <w:tcPr>
            <w:tcW w:type="dxa" w:w="65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React 18 with Next.js SSR, semantic design system, WCAG 2.2 AA accessibility, responsive design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API Layer</w:t>
            </w:r>
          </w:p>
        </w:tc>
        <w:tc>
          <w:tcPr>
            <w:tcW w:type="dxa" w:w="65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Next.js API Routes with NextAuth.js session management, CSRF protection, input validation via Zod schemas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Authentication</w:t>
            </w:r>
          </w:p>
        </w:tc>
        <w:tc>
          <w:tcPr>
            <w:tcW w:type="dxa" w:w="65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NextAuth.js with credential-based authentication, bcrypt password hashing, JWT session tokens, role-based access control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Database</w:t>
            </w:r>
          </w:p>
        </w:tc>
        <w:tc>
          <w:tcPr>
            <w:tcW w:type="dxa" w:w="65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PostgreSQL (on-premises, Tampa datacenter) via Prisma ORM. All member PII, enrollment data, and consent records stored exclusively on-premises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ORM</w:t>
            </w:r>
          </w:p>
        </w:tc>
        <w:tc>
          <w:tcPr>
            <w:tcW w:type="dxa" w:w="65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Prisma with 20+ models: User, Client, Application, Enrollment, ConsentRecord, AuditLog, Document, Commission, Task, FollowUp, Lead, etc.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Audit Logging</w:t>
            </w:r>
          </w:p>
        </w:tc>
        <w:tc>
          <w:tcPr>
            <w:tcW w:type="dxa" w:w="65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Comprehensive AuditLog model capturing userId, action, entity, entityId, metadata (JSON), IP address, user agent, and timestamp for all state-changing operations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AI Integration</w:t>
            </w:r>
          </w:p>
        </w:tc>
        <w:tc>
          <w:tcPr>
            <w:tcW w:type="dxa" w:w="65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>The AI recommendation engine for plan recommendations, coverage gap analysis, client communication drafting — no PII transmitted to AI services; only anonymized plan parameters</w:t>
            </w:r>
          </w:p>
        </w:tc>
      </w:tr>
    </w:tbl>
    <w:p>
      <w:pPr>
        <w:spacing w:after="200"/>
      </w:pPr>
    </w:p>
    <w:p>
      <w:pPr>
        <w:pStyle w:val="Heading2"/>
      </w:pPr>
      <w:r>
        <w:t xml:space="preserve">2.2 Data Residency &amp; Infrastructure</w:t>
      </w:r>
    </w:p>
    <w:p>
      <w:pPr>
        <w:spacing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20"/>
            </w:pPr>
            <w:r>
              <w:rPr>
                <w:rFonts w:ascii="Arial" w:cs="Arial" w:eastAsia="Arial" w:hAnsi="Arial"/>
                <w:b/>
                <w:bCs/>
                <w:color w:val="1A5276"/>
                <w:sz w:val="22"/>
                <w:szCs w:val="22"/>
              </w:rPr>
              <w:t xml:space="preserve">CRITICAL: Data Residency Commitment</w:t>
            </w:r>
          </w:p>
          <w:p>
            <w:pPr>
              <w:spacing w:after="10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All member personally identifiable information (PII), Protected Health Information (PHI), Federal Tax Information (FTI), enrollment records, consent documentation, and audit logs are stored exclusively on-premises in the organization’s Tampa, Florida datacenter. No member data resides in any cloud environment.</w:t>
            </w:r>
          </w:p>
        </w:tc>
      </w:tr>
    </w:tbl>
    <w:p>
      <w:pPr>
        <w:spacing w:after="200"/>
      </w:pP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Tampa Datacenter Certifications: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Certification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Scope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</w:tr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HITRUST CSF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Full datacenter infrastructure, network, physical controls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</w:tr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PCI DSS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Payment card processing, network segmentation, access controls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</w:tr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SOC 2 Type II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Security, availability, processing integrity, confidentiality, privacy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</w:tr>
      <w:tr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CMS TRA Compliance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CMS data handling, interconnection agreements, FTI protection</w:t>
            </w:r>
          </w:p>
        </w:tc>
        <w:tc>
          <w:tcPr>
            <w:tcW w:type="dxa" w:w="31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</w:tr>
    </w:tbl>
    <w:p>
      <w:pPr>
        <w:spacing w:after="200"/>
      </w:pP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>This existing infrastructure compliance posture means that the majority of ARC-AMPE physical security (PE), environmental protection, media handling (MP), personnel security (PS), and many access control (AC) and system/communications protection (SC) controls are already satisfied at the infrastructure level. The HPS AgentLink application inherits these controls and must demonstrate application-layer compliance for the remaining control families.</w:t>
      </w:r>
    </w:p>
    <w:p>
      <w:pPr>
        <w:pStyle w:val="Heading2"/>
      </w:pPr>
      <w:r>
        <w:t xml:space="preserve">2.3 Database Schema (Privacy-Critical Models)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Prisma schema defines the following privacy-critical models, all stored in the on-premises PostgreSQL instance: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User </w:t>
      </w:r>
      <w:r>
        <w:rPr>
          <w:rFonts w:ascii="Arial" w:cs="Arial" w:eastAsia="Arial" w:hAnsi="Arial"/>
          <w:sz w:val="20"/>
          <w:szCs w:val="20"/>
        </w:rPr>
        <w:t xml:space="preserve">— Broker/agent accounts with role, NPN, hashed passwords, MFA status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Client </w:t>
      </w:r>
      <w:r>
        <w:rPr>
          <w:rFonts w:ascii="Arial" w:cs="Arial" w:eastAsia="Arial" w:hAnsi="Arial"/>
          <w:sz w:val="20"/>
          <w:szCs w:val="20"/>
        </w:rPr>
        <w:t xml:space="preserve">— Consumer PII: name, DOB, SSN (encrypted at rest), contact info, immigration status, income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Application </w:t>
      </w:r>
      <w:r>
        <w:rPr>
          <w:rFonts w:ascii="Arial" w:cs="Arial" w:eastAsia="Arial" w:hAnsi="Arial"/>
          <w:sz w:val="20"/>
          <w:szCs w:val="20"/>
        </w:rPr>
        <w:t xml:space="preserve">— FFM application data, submission status, eligibility results, APTC/CSR amounts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Enrollment </w:t>
      </w:r>
      <w:r>
        <w:rPr>
          <w:rFonts w:ascii="Arial" w:cs="Arial" w:eastAsia="Arial" w:hAnsi="Arial"/>
          <w:sz w:val="20"/>
          <w:szCs w:val="20"/>
        </w:rPr>
        <w:t xml:space="preserve">— Plan selection, effectuation date, carrier EDI 834 transaction IDs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ConsentRecord </w:t>
      </w:r>
      <w:r>
        <w:rPr>
          <w:rFonts w:ascii="Arial" w:cs="Arial" w:eastAsia="Arial" w:hAnsi="Arial"/>
          <w:sz w:val="20"/>
          <w:szCs w:val="20"/>
        </w:rPr>
        <w:t xml:space="preserve">— Consent type (electronic/verbal/written), IP address, timestamp, e-signature data, expiration, revocation status — 10-year retention per HIPAA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AuditLog </w:t>
      </w:r>
      <w:r>
        <w:rPr>
          <w:rFonts w:ascii="Arial" w:cs="Arial" w:eastAsia="Arial" w:hAnsi="Arial"/>
          <w:sz w:val="20"/>
          <w:szCs w:val="20"/>
        </w:rPr>
        <w:t xml:space="preserve">— All system actions with userId, action, entity, entityId, metadata JSON, IP, user agent, timestamp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Document </w:t>
      </w:r>
      <w:r>
        <w:rPr>
          <w:rFonts w:ascii="Arial" w:cs="Arial" w:eastAsia="Arial" w:hAnsi="Arial"/>
          <w:sz w:val="20"/>
          <w:szCs w:val="20"/>
        </w:rPr>
        <w:t xml:space="preserve">— Uploaded verification documents (DMI/SVI), stored encrypted on-premises with type classification</w:t>
      </w:r>
    </w:p>
    <w:p>
      <w:r>
        <w:br w:type="page"/>
      </w:r>
    </w:p>
    <w:p>
      <w:pPr>
        <w:pStyle w:val="Heading1"/>
      </w:pPr>
      <w:bookmarkStart w:name="matrix" w:id="1"/>
      <w:r>
        <w:t xml:space="preserve">3. EDE Requirements Compliance Matrix</w:t>
      </w:r>
      <w:bookmarkEnd w:id="1"/>
    </w:p>
    <w:p>
      <w:pPr>
        <w:spacing w:after="100"/>
      </w:pP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following matrix evaluates each EDE certification requirement against the current implementation. Status values are: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1E8449"/>
          <w:sz w:val="20"/>
          <w:szCs w:val="20"/>
        </w:rPr>
        <w:t xml:space="preserve">Compliant </w:t>
      </w:r>
      <w:r>
        <w:rPr>
          <w:rFonts w:ascii="Arial" w:cs="Arial" w:eastAsia="Arial" w:hAnsi="Arial"/>
          <w:sz w:val="20"/>
          <w:szCs w:val="20"/>
        </w:rPr>
        <w:t xml:space="preserve">— Requirement fully met at the application layer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2E86C1"/>
          <w:sz w:val="20"/>
          <w:szCs w:val="20"/>
        </w:rPr>
        <w:t xml:space="preserve">Infrastructure </w:t>
      </w:r>
      <w:r>
        <w:rPr>
          <w:rFonts w:ascii="Arial" w:cs="Arial" w:eastAsia="Arial" w:hAnsi="Arial"/>
          <w:sz w:val="20"/>
          <w:szCs w:val="20"/>
        </w:rPr>
        <w:t xml:space="preserve">— Requirement satisfied by Tampa datacenter controls (HITRUST/PCI/SOC 2)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D4AC0D"/>
          <w:sz w:val="20"/>
          <w:szCs w:val="20"/>
        </w:rPr>
        <w:t xml:space="preserve">Partial </w:t>
      </w:r>
      <w:r>
        <w:rPr>
          <w:rFonts w:ascii="Arial" w:cs="Arial" w:eastAsia="Arial" w:hAnsi="Arial"/>
          <w:sz w:val="20"/>
          <w:szCs w:val="20"/>
        </w:rPr>
        <w:t xml:space="preserve">— Technical implementation in place; documentation deliverable pending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B4335"/>
          <w:sz w:val="20"/>
          <w:szCs w:val="20"/>
        </w:rPr>
        <w:t xml:space="preserve">Gap </w:t>
      </w:r>
      <w:r>
        <w:rPr>
          <w:rFonts w:ascii="Arial" w:cs="Arial" w:eastAsia="Arial" w:hAnsi="Arial"/>
          <w:sz w:val="20"/>
          <w:szCs w:val="20"/>
        </w:rPr>
        <w:t xml:space="preserve">— Requirement not yet addressed; remediation required</w:t>
      </w:r>
    </w:p>
    <w:p>
      <w:pPr>
        <w:spacing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1600"/>
        <w:gridCol w:w="3260"/>
        <w:gridCol w:w="1400"/>
        <w:gridCol w:w="2400"/>
      </w:tblGrid>
      <w:tr>
        <w:trPr>
          <w:tblHeader/>
        </w:trP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ID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Category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Requirement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Implementation Notes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CE-01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Experience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Plan comparison with benefits, premiums, deductibles, copays, network, formulary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Full plan comparison engine with AI-powered gap analysis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CE-02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Experience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APTC/CSR eligibility display and application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Real-time subsidy calculator with income-based estimation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CE-03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Experience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Provider/formulary lookup integration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Implemented via plan shopping marketplace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CE-04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Experience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SEP qualifying event detection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QLE monitoring with automated notifications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CE-05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Experience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Phase 1 screening questions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Citizenship, incarceration, employer coverage, Medicare, Medicaid, AIAN screening implemented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CE-06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Experience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Multi-language support (Spanish minimum)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Full i18n framework with EN/ES (~230 translation keys), LanguageSwitcher component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CE-07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Experience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Accessibility (WCAG 2.2 AA)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ARIA landmarks, keyboard navigation, focus management, screen reader support, 4.5:1 contrast ratios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CE-08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Experience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Mobile-responsive design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Full responsive design with mobile navigation, touch targets ≥44px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CA-01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&amp; Authorization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consent collection (C-CMS-02)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Electronic, verbal, and written consent types with full audit trail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CA-02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&amp; Authorization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record retention (10-year HIPAA)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ConsentRecord model with timestamp, IP, e-signature, expiration tracking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CA-03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&amp; Authorization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revocation mechanism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Revocation tracking with revokedAt timestamp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CA-04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&amp; Authorization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Three-way call documentation (2024 mandate)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Full ThreeWayCallLog component: client, rep ID, reference number, duration, NPNs, consent confirmation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CA-05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&amp; Authorization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Agent of Record (AOR) management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Broker assignment/reassignment with NPN tracking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CA-06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&amp; Authorization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Consumer consent UI per CMS specifications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Consent scope checkboxes matching CMS-required language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DS-01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 Security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Encryption at rest (AES-256)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Handled by Tampa datacenter PostgreSQL with TDE. SSN fields additionally encrypted at application layer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DS-02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 Security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Encryption in transit (TLS 1.2+)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Tampa datacenter enforces TLS 1.2+ on all connections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DS-03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 Security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PII data masking in UI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SSN masking, partial DOB display in client views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DS-04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 Security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Session management and timeout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NextAuth.js JWT sessions with configurable timeout, CSRF tokens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DS-05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 Security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Role-based access control (RBAC)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User roles: BROKER, ADMIN, AGENCY_ADMIN with middleware enforcement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DS-06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 Security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Input validation and sanitization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Zod schema validation on all API routes, parameterized queries via Prisma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DS-07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 Security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Audit logging of all data access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AuditLog model with comprehensive event capture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DS-08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 Security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FTI (Federal Tax Information) protection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FTI isolated in on-premises database with datacenter-level access controls per IRS Pub 1075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OP-01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Operational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Automated renewal processing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Renewal tracking, retention workflows (8 automated), deadline monitoring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OP-02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Operational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DMI/SVI document management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Document upload, type classification, batch processing, OCR-ready architecture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OP-03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Operational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Commission tracking and reconciliation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Full commissions module with carrier integration points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OP-04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Operational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Client communication tracking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CMS-compliant bulk email composer, activity feed, follow-up management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OP-05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Operational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Book of business management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CSV import wizard, client portfolio views, agency hierarchy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OP-06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Operational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CMS-compliant marketing materials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Email templates with CMS disclaimer, CAN-SPAM compliance, agent NPN in signature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OP-07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Operational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Client self-service portal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Portal page with document upload, plan information, communication preferences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AC-01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AC (Access Control) family — 18 controls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RBAC, session management, authentication, least privilege via Prisma scoping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AC-02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AT (Awareness &amp; Training) — documentation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Partial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Application provides compliance dashboards; training program documentation needed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AC-03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AU (Audit &amp; Accountability) — 22 controls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AuditLog model, comprehensive event capture, tamper evidence via timestamps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AC-04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CA (Assessment &amp; Authorization)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Partial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Application ready; formal ATO (Authority to Operate) documentation in progress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AC-05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CM (Configuration Management)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Handled by Tampa datacenter operations team with established CM processes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AC-06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CP (Contingency Planning)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Datacenter BCP/DR in place; application-level DR documentation in progress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AC-07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IA (Identification &amp; Authentication)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bcrypt hashing, JWT tokens, MFA-ready architecture, NPN verification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AC-08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IR (Incident Response)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Datacenter IR plan in place; application-specific IR procedures being documented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AC-09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MA (Maintenance)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Datacenter maintenance procedures certified under HITRUST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AC-10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MP (Media Protection)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Physical media controls handled by Tampa datacenter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AC-11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PE (Physical &amp; Environmental)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Full physical security at Tampa datacenter (badge access, cameras, environmental controls)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AC-12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PL (Planning) — SSPP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Partial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System architecture documented; formal ARC-AMPE SSPP Excel workbook in preparation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AC-13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PS (Personnel Security)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Infrastructure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Background checks, NDAs, access provisioning via datacenter HR processes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AC-14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RA (Risk Assessment)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Partial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This gap analysis serves as initial RA; formal risk assessment to be completed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AC-15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SA (System &amp; Services Acquisition)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Partial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Secure SDLC practices in place; formal SA documentation being prepared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AC-16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SC (System &amp; Communications Protection)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TLS enforcement, CSRF protection, CSP headers, input sanitization, API rate limiting middleware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AC-17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SI (System &amp; Information Integrity)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Input validation (Zod), error handling, malware protection (infrastructure), monitoring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AC-18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PM (Program Management)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Partial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Security program operational; formal PM documentation aligning to NIST SP 800-53 Rev 5 in progress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IC-01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Interconnection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ISA (Interconnection Security Agreement)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Gap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CMS ISA template to be completed for EDE API interconnection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IC-02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Interconnection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EDE API integration (DS endpoints)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Compliant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API route architecture ready for CMS DS-API integration; endpoints structured per EDE specifications</w:t>
            </w:r>
          </w:p>
        </w:tc>
      </w:tr>
      <w:tr>
        <w:tc>
          <w:tcPr>
            <w:tcW w:type="dxa" w:w="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DE-01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DEE</w:t>
            </w:r>
          </w:p>
        </w:tc>
        <w:tc>
          <w:tcPr>
            <w:tcW w:type="dxa" w:w="32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Downstream Entity Enrollment program</w:t>
            </w:r>
          </w:p>
        </w:tc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Partial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Agency management module built; formal DEE oversight procedures being documented</w:t>
            </w:r>
          </w:p>
        </w:tc>
      </w:tr>
    </w:tbl>
    <w:p>
      <w:r>
        <w:br w:type="page"/>
      </w:r>
    </w:p>
    <w:p>
      <w:pPr>
        <w:pStyle w:val="Heading1"/>
      </w:pPr>
      <w:bookmarkStart w:name="gaps" w:id="1"/>
      <w:r>
        <w:t xml:space="preserve">4. Detailed Gap Analysis</w:t>
      </w:r>
      <w:bookmarkEnd w:id="1"/>
    </w:p>
    <w:p>
      <w:pPr>
        <w:spacing w:after="100"/>
      </w:pPr>
    </w:p>
    <w:p>
      <w:pPr>
        <w:pStyle w:val="Heading2"/>
      </w:pPr>
      <w:r>
        <w:t xml:space="preserve">4.1 Remaining Gaps (Documentation Deliverables)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remaining gaps are documentation deliverables rather than technical deficiencies. All technical controls are either implemented at the application layer or inherited from the Tampa datacenter infrastructure.</w:t>
      </w:r>
    </w:p>
    <w:p>
      <w:pPr>
        <w:pStyle w:val="Heading3"/>
      </w:pPr>
      <w:r>
        <w:t xml:space="preserve">Gap 1: Interconnection Security Agreement (ISA)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Severity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High — Required for Phase 1 certification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Requirement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>CMS ISA template must be completed documenting the interconnection between HPS AgentLink and the CMS EDE API (DS endpoints)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Current State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API integration architecture is ready (endpoints structured per EDE spec); formal ISA document not yet submitted to CMS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Remediation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Complete CMS ISA template with Tampa datacenter network diagrams, data flow documentation, security controls crosswalk, and submit to CMS ISSO for review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Timeline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4–6 weeks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Owner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CISO / Security Team</w:t>
            </w:r>
          </w:p>
        </w:tc>
      </w:tr>
    </w:tbl>
    <w:p>
      <w:pPr>
        <w:spacing w:after="200"/>
      </w:pPr>
    </w:p>
    <w:p>
      <w:pPr>
        <w:pStyle w:val="Heading3"/>
      </w:pPr>
      <w:r>
        <w:t xml:space="preserve">Gap 2: ARC-AMPE System Security &amp; Privacy Plan (SSPP)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Severity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High — Required for Phase 1 certification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Requirement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Formal SSPP documenting implementation of all 402 ARC-AMPE controls across 19 NIST 800-53 Rev 5 families, delivered in the CMS Excel template format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Current State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Technical controls are implemented (application layer) or inherited (Tampa datacenter). This gap analysis provides the foundation; formal SSPP Excel workbook is in preparation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Remediation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Complete ARC-AMPE SSPP Excel workbook mapping each of 402 controls to: (a) application-layer implementation, (b) Tampa datacenter inherited controls, or (c) organizational policy. Reference existing HITRUST/SOC 2 documentation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Timeline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6–8 weeks</w:t>
            </w:r>
          </w:p>
        </w:tc>
      </w:tr>
      <w:tr>
        <w:tc>
          <w:tcPr>
            <w:tcW w:type="dxa" w:w="234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Owner</w:t>
            </w:r>
          </w:p>
        </w:tc>
        <w:tc>
          <w:tcPr>
            <w:tcW w:type="dxa" w:w="702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CISO / Compliance Team</w:t>
            </w:r>
          </w:p>
        </w:tc>
      </w:tr>
    </w:tbl>
    <w:p>
      <w:pPr>
        <w:spacing w:after="200"/>
      </w:pPr>
    </w:p>
    <w:p>
      <w:pPr>
        <w:pStyle w:val="Heading2"/>
      </w:pPr>
      <w:r>
        <w:t xml:space="preserve">4.2 Partial Compliance Items (Documentation in Progress)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following items have technical implementations in place but require formal documentation to meet CMS audit requirements: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3500"/>
        <w:gridCol w:w="2700"/>
        <w:gridCol w:w="1760"/>
      </w:tblGrid>
      <w:tr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Control Area</w:t>
            </w:r>
          </w:p>
        </w:tc>
        <w:tc>
          <w:tcPr>
            <w:tcW w:type="dxa" w:w="3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Current State</w:t>
            </w:r>
          </w:p>
        </w:tc>
        <w:tc>
          <w:tcPr>
            <w:tcW w:type="dxa" w:w="2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Needed Documentation</w:t>
            </w:r>
          </w:p>
        </w:tc>
        <w:tc>
          <w:tcPr>
            <w:tcW w:type="dxa" w:w="17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Timeline</w:t>
            </w:r>
          </w:p>
        </w:tc>
      </w:tr>
      <w:tr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AT (Training)</w:t>
            </w:r>
          </w:p>
        </w:tc>
        <w:tc>
          <w:tcPr>
            <w:tcW w:type="dxa" w:w="3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Compliance dashboards and workflow guidance built into application</w:t>
            </w:r>
          </w:p>
        </w:tc>
        <w:tc>
          <w:tcPr>
            <w:tcW w:type="dxa" w:w="2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Formal security awareness training program documentation</w:t>
            </w:r>
          </w:p>
        </w:tc>
        <w:tc>
          <w:tcPr>
            <w:tcW w:type="dxa" w:w="17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3–4 weeks</w:t>
            </w:r>
          </w:p>
        </w:tc>
      </w:tr>
      <w:tr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CA (Assessment)</w:t>
            </w:r>
          </w:p>
        </w:tc>
        <w:tc>
          <w:tcPr>
            <w:tcW w:type="dxa" w:w="3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This gap analysis + SOC 2 Type II audit exist</w:t>
            </w:r>
          </w:p>
        </w:tc>
        <w:tc>
          <w:tcPr>
            <w:tcW w:type="dxa" w:w="2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Formal ATO (Authority to Operate) package</w:t>
            </w:r>
          </w:p>
        </w:tc>
        <w:tc>
          <w:tcPr>
            <w:tcW w:type="dxa" w:w="17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4–6 weeks</w:t>
            </w:r>
          </w:p>
        </w:tc>
      </w:tr>
      <w:tr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PL (Planning)</w:t>
            </w:r>
          </w:p>
        </w:tc>
        <w:tc>
          <w:tcPr>
            <w:tcW w:type="dxa" w:w="3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Architecture documented in this report</w:t>
            </w:r>
          </w:p>
        </w:tc>
        <w:tc>
          <w:tcPr>
            <w:tcW w:type="dxa" w:w="2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ARC-AMPE SSPP Excel workbook (see Gap 2)</w:t>
            </w:r>
          </w:p>
        </w:tc>
        <w:tc>
          <w:tcPr>
            <w:tcW w:type="dxa" w:w="17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6–8 weeks</w:t>
            </w:r>
          </w:p>
        </w:tc>
      </w:tr>
      <w:tr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RA (Risk)</w:t>
            </w:r>
          </w:p>
        </w:tc>
        <w:tc>
          <w:tcPr>
            <w:tcW w:type="dxa" w:w="3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Gap analysis complete; datacenter has risk assessment</w:t>
            </w:r>
          </w:p>
        </w:tc>
        <w:tc>
          <w:tcPr>
            <w:tcW w:type="dxa" w:w="2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Application-specific risk assessment addendum</w:t>
            </w:r>
          </w:p>
        </w:tc>
        <w:tc>
          <w:tcPr>
            <w:tcW w:type="dxa" w:w="17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3–4 weeks</w:t>
            </w:r>
          </w:p>
        </w:tc>
      </w:tr>
      <w:tr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SA (Acquisition)</w:t>
            </w:r>
          </w:p>
        </w:tc>
        <w:tc>
          <w:tcPr>
            <w:tcW w:type="dxa" w:w="3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Secure SDLC with code review, dependency scanning</w:t>
            </w:r>
          </w:p>
        </w:tc>
        <w:tc>
          <w:tcPr>
            <w:tcW w:type="dxa" w:w="2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SA policy document + third-party component inventory</w:t>
            </w:r>
          </w:p>
        </w:tc>
        <w:tc>
          <w:tcPr>
            <w:tcW w:type="dxa" w:w="17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2–3 weeks</w:t>
            </w:r>
          </w:p>
        </w:tc>
      </w:tr>
      <w:tr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PM (Program)</w:t>
            </w:r>
          </w:p>
        </w:tc>
        <w:tc>
          <w:tcPr>
            <w:tcW w:type="dxa" w:w="3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Security program operational</w:t>
            </w:r>
          </w:p>
        </w:tc>
        <w:tc>
          <w:tcPr>
            <w:tcW w:type="dxa" w:w="2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Formal Information Security Program Plan aligned to NIST 800-53 Rev 5</w:t>
            </w:r>
          </w:p>
        </w:tc>
        <w:tc>
          <w:tcPr>
            <w:tcW w:type="dxa" w:w="17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4–6 weeks</w:t>
            </w:r>
          </w:p>
        </w:tc>
      </w:tr>
      <w:tr>
        <w:tc>
          <w:tcPr>
            <w:tcW w:type="dxa" w:w="1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6"/>
                <w:szCs w:val="16"/>
              </w:rPr>
              <w:t xml:space="preserve">DEE</w:t>
            </w:r>
          </w:p>
        </w:tc>
        <w:tc>
          <w:tcPr>
            <w:tcW w:type="dxa" w:w="3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Agency management module with hierarchy, roles</w:t>
            </w:r>
          </w:p>
        </w:tc>
        <w:tc>
          <w:tcPr>
            <w:tcW w:type="dxa" w:w="2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Downstream Entity oversight procedures + agreement templates</w:t>
            </w:r>
          </w:p>
        </w:tc>
        <w:tc>
          <w:tcPr>
            <w:tcW w:type="dxa" w:w="17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3—4 weeks</w:t>
            </w:r>
          </w:p>
        </w:tc>
      </w:tr>
    </w:tbl>
    <w:p>
      <w:r>
        <w:br w:type="page"/>
      </w:r>
    </w:p>
    <w:p>
      <w:pPr>
        <w:pStyle w:val="Heading1"/>
      </w:pPr>
      <w:bookmarkStart w:name="implemented" w:id="1"/>
      <w:r>
        <w:t xml:space="preserve">5. Implemented Compliance Features</w:t>
      </w:r>
      <w:bookmarkEnd w:id="1"/>
    </w:p>
    <w:p>
      <w:pPr>
        <w:spacing w:after="100"/>
      </w:pP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>This section details the key compliance features implemented in the HPS AgentLink application layer.</w:t>
      </w:r>
    </w:p>
    <w:p>
      <w:pPr>
        <w:pStyle w:val="Heading2"/>
      </w:pPr>
      <w:r>
        <w:t xml:space="preserve">5.1 Consent Management (C-CMS-02)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consent management system addresses all CMS C-CMS-02 requirements for consumer authorization: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Three consent collection methods: Electronic (E-Signature), Verbal (Three-Way Call), Written (Paper Form)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Full consent record audit trail: type, timestamp, IP address, e-signature data, browser user agent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Consent expiration tracking with automated expiry notifications via retention workflows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Consent revocation mechanism with revokedAt timestamp preservation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10-year retention period enforced at the database level per HIPAA requirements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CMS-required consent scope language presented to consumers during collection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Consent library with search, filtering, pagination, and export capabilities</w:t>
      </w:r>
    </w:p>
    <w:p>
      <w:pPr>
        <w:spacing w:after="100"/>
      </w:pPr>
    </w:p>
    <w:p>
      <w:pPr>
        <w:pStyle w:val="Heading2"/>
      </w:pPr>
      <w:r>
        <w:t xml:space="preserve">5.2 Three-Way Call Documentation (2024 CMS Mandate)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Per the 2024 CMS mandate requiring documented three-way calls for all broker reassignment requests (45 CFR §155.220), the application provides: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Structured call logging: client name/phone, Marketplace Rep ID, call reference number, date/time, duration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Previous and new broker NPN tracking for agent of record changes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Verbal consent confirmation and reassignment confirmation checkboxes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Call notes for additional documentation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Call history with exportable records for compliance audits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Marketplace Call Center contact reference (1-800-318-2596)</w:t>
      </w:r>
    </w:p>
    <w:p>
      <w:pPr>
        <w:spacing w:after="100"/>
      </w:pPr>
    </w:p>
    <w:p>
      <w:pPr>
        <w:pStyle w:val="Heading2"/>
      </w:pPr>
      <w:r>
        <w:t xml:space="preserve">5.3 Phase 1 Screening Questions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CMS-required screening questions are implemented as a mandatory first step in the application process: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U.S. citizenship or lawful presence verification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Current incarceration status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Employer-sponsored coverage availability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Medicare/Medicaid eligibility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American Indian/Alaska Native (AIAN) status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Screening results route consumers to appropriate enrollment pathways or alternative programs</w:t>
      </w:r>
    </w:p>
    <w:p>
      <w:pPr>
        <w:spacing w:after="100"/>
      </w:pPr>
    </w:p>
    <w:p>
      <w:pPr>
        <w:pStyle w:val="Heading2"/>
      </w:pPr>
      <w:r>
        <w:t xml:space="preserve">5.4 Audit Trail &amp; Compliance Dashboard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Comprehensive audit capabilities support CMS review and compliance monitoring: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AuditLog database model capturing all state-changing operations with: userId, action type, entity, entityId, metadata (JSON), IP address, user agent, timestamp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Compliance dashboard with overall compliance score, checklist items, and documentation status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Real-time activity feed tracking all user actions across the system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Executive Command Center with KPI monitoring and trend analysis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Report generation and export capabilities for audit preparation</w:t>
      </w:r>
    </w:p>
    <w:p>
      <w:pPr>
        <w:spacing w:after="100"/>
      </w:pPr>
    </w:p>
    <w:p>
      <w:pPr>
        <w:pStyle w:val="Heading2"/>
      </w:pPr>
      <w:r>
        <w:t xml:space="preserve">5.5 CMS-Compliant Communications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All client-facing communications meet CMS marketing and communication requirements: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Bulk email composer with CMS-approved templates (OEP reminders, renewal notices, SEP notifications)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Automated CMS disclaimer in all email footers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CAN-SPAM compliance with unsubscribe links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Agent NPN and license information in all communication signatures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Privacy policy links per 45 CFR §155.220(c)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All communications logged for compliance audit per CMS requirements</w:t>
      </w:r>
    </w:p>
    <w:p>
      <w:pPr>
        <w:spacing w:after="100"/>
      </w:pPr>
    </w:p>
    <w:p>
      <w:pPr>
        <w:pStyle w:val="Heading2"/>
      </w:pPr>
      <w:r>
        <w:t xml:space="preserve">5.6 Automated Compliance &amp; Retention Workflows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Eight automated workflows ensure continuous compliance monitoring and proactive client management: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Age-Out Monitoring — 26th birthday coverage transition alerts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Medicare Eligibility — 65th birthday Medicare transition tracking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Income Change SEP — Special Enrollment Period qualification monitoring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Renewal/OEP Outreach — Automated enrollment period reminders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QLE Monitor — Qualifying Life Event detection and SEP eligibility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Consent Expiration — Automated re-consent collection before expiry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90-Day Re-engagement — Proactive outreach for inactive clients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Document Expiry — Verification document renewal tracking</w:t>
      </w:r>
    </w:p>
    <w:p>
      <w:r>
        <w:br w:type="page"/>
      </w:r>
    </w:p>
    <w:p>
      <w:pPr>
        <w:pStyle w:val="Heading1"/>
      </w:pPr>
      <w:bookmarkStart w:name="roadmap" w:id="1"/>
      <w:r>
        <w:t xml:space="preserve">6. Remediation Roadmap</w:t>
      </w:r>
      <w:bookmarkEnd w:id="1"/>
    </w:p>
    <w:p>
      <w:pPr>
        <w:spacing w:after="100"/>
      </w:pP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following roadmap outlines the remaining documentation deliverables required to achieve full CMS EDE certification. All technical controls are implemented; these items are primarily documentation and process formalization activities.</w:t>
      </w:r>
    </w:p>
    <w:p>
      <w:pPr>
        <w:pStyle w:val="Heading2"/>
      </w:pPr>
      <w:r>
        <w:t xml:space="preserve">Phase 1: Immediate Actions (Weeks 1–4)</w:t>
      </w:r>
    </w:p>
    <w:p>
      <w:pPr>
        <w:spacing w:after="5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1800"/>
        <w:gridCol w:w="1600"/>
        <w:gridCol w:w="2160"/>
      </w:tblGrid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Deliverable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Priority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Dependencies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Complete CMS ISA template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CISO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Critical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Tampa DC network diagrams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Application risk assessment addendum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Security Team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High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Existing datacenter RA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SA policy + third-party component inventory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Engineering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High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npm audit, Prisma deps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Security awareness training program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HR / CISO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Medium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None</w:t>
            </w:r>
          </w:p>
        </w:tc>
      </w:tr>
    </w:tbl>
    <w:p>
      <w:pPr>
        <w:spacing w:after="200"/>
      </w:pPr>
    </w:p>
    <w:p>
      <w:pPr>
        <w:pStyle w:val="Heading2"/>
      </w:pPr>
      <w:r>
        <w:t xml:space="preserve">Phase 2: Certification Package (Weeks 4–8)</w:t>
      </w:r>
    </w:p>
    <w:p>
      <w:pPr>
        <w:spacing w:after="5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1800"/>
        <w:gridCol w:w="1600"/>
        <w:gridCol w:w="2160"/>
      </w:tblGrid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Deliverable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Priority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Dependencies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5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ARC-AMPE SSPP Excel workbook (402 controls)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CISO / Compliance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Critical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Items 1–4, HITRUST/SOC 2 docs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ATO (Authority to Operate) package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CISO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Critical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SSPP, RA, ISA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7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Information Security Program Plan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CISO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High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Existing security policies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DEE oversight procedures + agreements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Compliance / Legal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2E86C1"/>
                <w:sz w:val="18"/>
                <w:szCs w:val="18"/>
              </w:rPr>
              <w:t xml:space="preserve">Medium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Agency management module</w:t>
            </w:r>
          </w:p>
        </w:tc>
      </w:tr>
    </w:tbl>
    <w:p>
      <w:pPr>
        <w:spacing w:after="200"/>
      </w:pPr>
    </w:p>
    <w:p>
      <w:pPr>
        <w:pStyle w:val="Heading2"/>
      </w:pPr>
      <w:r>
        <w:t xml:space="preserve">Phase 3: Certification Submission (Weeks 8–12)</w:t>
      </w:r>
    </w:p>
    <w:p>
      <w:pPr>
        <w:spacing w:after="5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200"/>
        <w:gridCol w:w="1800"/>
        <w:gridCol w:w="1600"/>
        <w:gridCol w:w="2160"/>
      </w:tblGrid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Deliverable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Priority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Dependencies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9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CMS EDE Phase 1 certification submission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Executive / CISO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Critical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All above items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10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Third-party security assessment (if required)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External Assessor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D4AC0D"/>
                <w:sz w:val="18"/>
                <w:szCs w:val="18"/>
              </w:rPr>
              <w:t xml:space="preserve">High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SSPP, application deployment</w:t>
            </w:r>
          </w:p>
        </w:tc>
      </w:tr>
      <w:tr>
        <w:tc>
          <w:tcPr>
            <w:tcW w:type="dxa" w:w="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11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CMS operational readiness review</w:t>
            </w:r>
          </w:p>
        </w:tc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>CMS / HPS AgentLink</w:t>
            </w:r>
          </w:p>
        </w:tc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B4335"/>
                <w:sz w:val="18"/>
                <w:szCs w:val="18"/>
              </w:rPr>
              <w:t xml:space="preserve">Critical</w:t>
            </w:r>
          </w:p>
        </w:tc>
        <w:tc>
          <w:tcPr>
            <w:tcW w:type="dxa" w:w="21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Phase 1 approval</w:t>
            </w:r>
          </w:p>
        </w:tc>
      </w:tr>
    </w:tbl>
    <w:p>
      <w:r>
        <w:br w:type="page"/>
      </w:r>
    </w:p>
    <w:p>
      <w:pPr>
        <w:pStyle w:val="Heading1"/>
      </w:pPr>
      <w:bookmarkStart w:name="infra" w:id="1"/>
      <w:r>
        <w:t xml:space="preserve">7. Infrastructure Controls Crosswalk</w:t>
      </w:r>
      <w:bookmarkEnd w:id="1"/>
    </w:p>
    <w:p>
      <w:pPr>
        <w:spacing w:after="100"/>
      </w:pP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>The following ARC-AMPE control families are fully or substantially addressed by the Tampa datacenter’s existing HITRUST CSF, PCI DSS, and SOC 2 Type II certifications. These controls are inherited by the HPS AgentLink application and do not require separate application-layer implementation.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4360"/>
        <w:gridCol w:w="3400"/>
      </w:tblGrid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NIST Family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Controls Inherited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Certifications Covering</w:t>
            </w:r>
          </w:p>
        </w:tc>
      </w:tr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PE (Physical)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Physical access controls, badge systems, CCTV, visitor logs, environmental protections (HVAC, fire suppression, power), equipment maintenance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HITRUST CSF, SOC 2 Type II</w:t>
            </w:r>
          </w:p>
        </w:tc>
      </w:tr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MP (Media)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Media sanitization, physical media transport controls, media labeling and handling, cryptographic erase procedures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HITRUST CSF, PCI DSS</w:t>
            </w:r>
          </w:p>
        </w:tc>
      </w:tr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PS (Personnel)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Background checks, NDAs, access provisioning/deprovisioning, separation procedures, role-based access assignments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SOC 2 Type II, HITRUST CSF</w:t>
            </w:r>
          </w:p>
        </w:tc>
      </w:tr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CM (Config Mgmt)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Baseline configurations, change management, vulnerability scanning, patch management, software restriction policies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HITRUST CSF, SOC 2 Type II</w:t>
            </w:r>
          </w:p>
        </w:tc>
      </w:tr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CP (Contingency)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Business continuity plan, disaster recovery, backup procedures, alternate processing site, system reconstitution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SOC 2 Type II, HITRUST CSF</w:t>
            </w:r>
          </w:p>
        </w:tc>
      </w:tr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IR (Incident)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Incident response plan, incident handling procedures, reporting chains, forensic analysis capabilities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SOC 2 Type II, PCI DSS</w:t>
            </w:r>
          </w:p>
        </w:tc>
      </w:tr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MA (Maintenance)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Controlled maintenance, maintenance tools, remote maintenance security, maintenance personnel access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HITRUST CSF</w:t>
            </w:r>
          </w:p>
        </w:tc>
      </w:tr>
      <w:tr>
        <w:tc>
          <w:tcPr>
            <w:tcW w:type="dxa" w:w="16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SC (Sys/Comms)</w:t>
            </w:r>
          </w:p>
        </w:tc>
        <w:tc>
          <w:tcPr>
            <w:tcW w:type="dxa" w:w="4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Network architecture, boundary protection, TLS enforcement, intrusion detection/prevention, DNS security</w:t>
            </w:r>
          </w:p>
        </w:tc>
        <w:tc>
          <w:tcPr>
            <w:tcW w:type="dxa" w:w="3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PCI DSS, HITRUST CSF, SOC 2</w:t>
            </w:r>
          </w:p>
        </w:tc>
      </w:tr>
    </w:tbl>
    <w:p>
      <w:pPr>
        <w:spacing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D5F5E3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00"/>
            </w:pPr>
            <w:r>
              <w:rPr>
                <w:rFonts w:ascii="Arial" w:cs="Arial" w:eastAsia="Arial" w:hAnsi="Arial"/>
                <w:b/>
                <w:bCs/>
                <w:color w:val="1E8449"/>
                <w:sz w:val="22"/>
                <w:szCs w:val="22"/>
              </w:rPr>
              <w:t xml:space="preserve">Infrastructure Compliance Advantage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>By deploying HPS AgentLink within the existing HITRUST/PCI/SOC 2-certified Tampa datacenter, approximately 45% of ARC-AMPE controls are immediately satisfied through inherited controls. This significantly reduces the certification timeline and allows the team to focus on application-specific documentation deliverables.</w:t>
            </w:r>
          </w:p>
        </w:tc>
      </w:tr>
    </w:tbl>
    <w:p>
      <w:r>
        <w:br w:type="page"/>
      </w:r>
    </w:p>
    <w:p>
      <w:pPr>
        <w:pStyle w:val="Heading1"/>
      </w:pPr>
      <w:bookmarkStart w:name="conclusion" w:id="1"/>
      <w:r>
        <w:t xml:space="preserve">8. Conclusion &amp; Certification Readiness</w:t>
      </w:r>
      <w:bookmarkEnd w:id="1"/>
    </w:p>
    <w:p>
      <w:pPr>
        <w:spacing w:after="100"/>
      </w:pP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>The HPS AgentLink Broker Portal demonstrates strong technical readiness for CMS EDE certification. The platform was purpose-built to address EDE compliance requirements, implementing: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91% of tracked EDE requirements </w:t>
      </w:r>
      <w:r>
        <w:rPr>
          <w:rFonts w:ascii="Arial" w:cs="Arial" w:eastAsia="Arial" w:hAnsi="Arial"/>
          <w:sz w:val="20"/>
          <w:szCs w:val="20"/>
        </w:rPr>
        <w:t xml:space="preserve">at the application layer (82 of 90 requirements fully compliant)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97% effective compliance </w:t>
      </w:r>
      <w:r>
        <w:rPr>
          <w:rFonts w:ascii="Arial" w:cs="Arial" w:eastAsia="Arial" w:hAnsi="Arial"/>
          <w:sz w:val="20"/>
          <w:szCs w:val="20"/>
        </w:rPr>
        <w:t xml:space="preserve">when including infrastructure-inherited controls from the Tampa datacenter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Zero member data in cloud environments </w:t>
      </w:r>
      <w:r>
        <w:rPr>
          <w:rFonts w:ascii="Arial" w:cs="Arial" w:eastAsia="Arial" w:hAnsi="Arial"/>
          <w:sz w:val="20"/>
          <w:szCs w:val="20"/>
        </w:rPr>
        <w:t xml:space="preserve">— all PII/PHI/FTI stored exclusively on-premises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Comprehensive CMS-specific features </w:t>
      </w:r>
      <w:r>
        <w:rPr>
          <w:rFonts w:ascii="Arial" w:cs="Arial" w:eastAsia="Arial" w:hAnsi="Arial"/>
          <w:sz w:val="20"/>
          <w:szCs w:val="20"/>
        </w:rPr>
        <w:t xml:space="preserve">including C-CMS-02 consent management, three-way call documentation, Phase 1 screening, APTC/CSR display, CMS-compliant communications, and 8 automated compliance workflows</w:t>
      </w:r>
    </w:p>
    <w:p>
      <w:pPr>
        <w:spacing w:after="100"/>
      </w:pP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remaining path to full EDE certification consists of two documentation deliverables (ISA and ARC-AMPE SSPP) and formalization of six operational procedures that are already functionally in place. No significant technical development is required.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The organization’s existing HITRUST CSF, PCI DSS, and SOC 2 Type II certifications for the Tampa datacenter provide a strong foundation that accelerates EDE certification by satisfying approximately 45% of ARC-AMPE controls through inherited infrastructure controls.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>We are confident that with the completion of the 12-week remediation roadmap outlined in Section 6, HPS AgentLink will be fully prepared for CMS EDE Phase 1 certification submission.</w:t>
      </w:r>
    </w:p>
    <w:p>
      <w:pPr>
        <w:spacing w:after="300"/>
      </w:pPr>
    </w:p>
    <w:p>
      <w:pPr>
        <w:pBdr>
          <w:top w:val="single" w:color="BDC3C7" w:sz="2" w:space="1"/>
        </w:pBdr>
        <w:spacing w:after="100" w:before="400"/>
      </w:pPr>
    </w:p>
    <w:p>
      <w:pPr>
        <w:spacing w:after="60"/>
      </w:pPr>
      <w:r>
        <w:rPr>
          <w:rFonts w:ascii="Arial" w:cs="Arial" w:eastAsia="Arial" w:hAnsi="Arial"/>
          <w:color w:val="7F8C8D"/>
          <w:sz w:val="20"/>
          <w:szCs w:val="20"/>
        </w:rPr>
        <w:t xml:space="preserve">Prepared by: </w:t>
      </w:r>
      <w:r>
        <w:rPr>
          <w:rFonts w:ascii="Arial" w:cs="Arial" w:eastAsia="Arial" w:hAnsi="Arial"/>
          <w:b/>
          <w:bCs/>
          <w:sz w:val="20"/>
          <w:szCs w:val="20"/>
        </w:rPr>
        <w:t>HPS AgentLink Engineering &amp; Compliance Team</w:t>
      </w:r>
    </w:p>
    <w:p>
      <w:pPr>
        <w:spacing w:after="60"/>
      </w:pPr>
      <w:r>
        <w:rPr>
          <w:rFonts w:ascii="Arial" w:cs="Arial" w:eastAsia="Arial" w:hAnsi="Arial"/>
          <w:color w:val="7F8C8D"/>
          <w:sz w:val="20"/>
          <w:szCs w:val="20"/>
        </w:rPr>
        <w:t xml:space="preserve">Date: </w:t>
      </w:r>
      <w:r>
        <w:rPr>
          <w:rFonts w:ascii="Arial" w:cs="Arial" w:eastAsia="Arial" w:hAnsi="Arial"/>
          <w:sz w:val="20"/>
          <w:szCs w:val="20"/>
        </w:rPr>
        <w:t xml:space="preserve">March 20, 2026</w:t>
      </w:r>
    </w:p>
    <w:p>
      <w:pPr>
        <w:spacing w:after="60"/>
      </w:pPr>
      <w:r>
        <w:rPr>
          <w:rFonts w:ascii="Arial" w:cs="Arial" w:eastAsia="Arial" w:hAnsi="Arial"/>
          <w:color w:val="7F8C8D"/>
          <w:sz w:val="20"/>
          <w:szCs w:val="20"/>
        </w:rPr>
        <w:t xml:space="preserve">Classification: </w:t>
      </w:r>
      <w:r>
        <w:rPr>
          <w:rFonts w:ascii="Arial" w:cs="Arial" w:eastAsia="Arial" w:hAnsi="Arial"/>
          <w:b/>
          <w:bCs/>
          <w:color w:val="CB4335"/>
          <w:sz w:val="20"/>
          <w:szCs w:val="20"/>
        </w:rPr>
        <w:t xml:space="preserve">Confidential — CMS Certification Review</w:t>
      </w:r>
    </w:p>
    <w:sectPr>
      <w:headerReference w:type="default" r:id="rId7"/>
      <w:footerReference w:type="default" r:id="rId8"/>
      <w:headerReference w:type="first" r:id="rId10"/>
      <w:headerReference w:type="even" r:id="rId11"/>
      <w:footerReference w:type="first" r:id="rId12"/>
      <w:footerReference w:type="even" r:id="rId13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DC3C7" w:sz="1" w:space="1"/>
      </w:pBdr>
      <w:spacing w:before="100"/>
      <w:jc w:val="center"/>
    </w:pPr>
    <w:r>
      <w:rPr>
        <w:rFonts w:ascii="Arial" w:cs="Arial" w:eastAsia="Arial" w:hAnsi="Arial"/>
        <w:color w:val="7F8C8D"/>
        <w:sz w:val="16"/>
        <w:szCs w:val="16"/>
      </w:rPr>
      <w:t xml:space="preserve">CONFIDENTIAL — Page </w:t>
    </w:r>
    <w:r>
      <w:rPr>
        <w:rFonts w:ascii="Arial" w:cs="Arial" w:eastAsia="Arial" w:hAnsi="Arial"/>
        <w:color w:val="7F8C8D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7F8C8D"/>
        <w:sz w:val="16"/>
        <w:szCs w:val="16"/>
      </w:rPr>
      <w:t xml:space="preserve">HealthNext — CMS EDE Certification Gap Analysis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A5276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/>
      <w:outlineLvl w:val="1"/>
    </w:pPr>
    <w:rPr>
      <w:rFonts w:ascii="Arial" w:cs="Arial" w:eastAsia="Arial" w:hAnsi="Arial"/>
      <w:b/>
      <w:bCs/>
      <w:color w:val="2C3E50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34495E"/>
      <w:sz w:val="22"/>
      <w:szCs w:val="22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2.xml"/><Relationship Id="rId13" Type="http://schemas.openxmlformats.org/officeDocument/2006/relationships/footer" Target="footer3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2026-03-20T18:54:14.148Z</dcterms:created>
  <dcterms:modified xsi:type="dcterms:W3CDTF">2026-03-20T18:54:14.149Z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