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comments.xml" ContentType="application/vnd.openxmlformats-officedocument.wordprocessingml.comment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before="2000"/>
      </w:pPr>
    </w:p>
    <w:p>
      <w:pPr>
        <w:jc w:val="center"/>
      </w:pPr>
      <w:r>
        <w:rPr>
          <w:rFonts w:ascii="Arial" w:cs="Arial" w:eastAsia="Arial" w:hAnsi="Arial"/>
          <w:b/>
          <w:bCs/>
          <w:color w:val="1B3A5C"/>
          <w:sz w:val="48"/>
          <w:szCs w:val="48"/>
        </w:rPr>
        <w:t xml:space="preserve">DATA RETENTION AND</w:t>
      </w:r>
    </w:p>
    <w:p>
      <w:pPr>
        <w:jc w:val="center"/>
      </w:pPr>
      <w:r>
        <w:rPr>
          <w:rFonts w:ascii="Arial" w:cs="Arial" w:eastAsia="Arial" w:hAnsi="Arial"/>
          <w:b/>
          <w:bCs/>
          <w:color w:val="1B3A5C"/>
          <w:sz w:val="48"/>
          <w:szCs w:val="48"/>
        </w:rPr>
        <w:t xml:space="preserve">DESTRUCTION POLICY</w:t>
      </w:r>
    </w:p>
    <w:p>
      <w:pPr>
        <w:spacing w:before="200"/>
        <w:jc w:val="center"/>
      </w:pPr>
      <w:r>
        <w:rPr>
          <w:rFonts w:ascii="Arial" w:cs="Arial" w:eastAsia="Arial" w:hAnsi="Arial"/>
          <w:color w:val="1B3A5C"/>
          <w:sz w:val="36"/>
          <w:szCs w:val="36"/>
        </w:rPr>
        <w:t>HPS AgentLink Broker Portal</w:t>
      </w:r>
    </w:p>
    <w:p>
      <w:pPr>
        <w:spacing w:before="400"/>
        <w:jc w:val="center"/>
      </w:pPr>
      <w:r>
        <w:rPr>
          <w:rFonts w:ascii="Arial" w:cs="Arial" w:eastAsia="Arial" w:hAnsi="Arial"/>
          <w:i/>
          <w:iCs/>
          <w:sz w:val="28"/>
          <w:szCs w:val="28"/>
        </w:rPr>
        <w:t xml:space="preserve">Enhanced Direct Enrollment (EDE) Platform</w:t>
      </w:r>
    </w:p>
    <w:p>
      <w:pPr>
        <w:spacing w:before="600"/>
        <w:jc w:val="center"/>
      </w:pPr>
      <w:r>
        <w:rPr>
          <w:rFonts w:ascii="Arial" w:cs="Arial" w:eastAsia="Arial" w:hAnsi="Arial"/>
          <w:sz w:val="24"/>
          <w:szCs w:val="24"/>
        </w:rPr>
        <w:t xml:space="preserve">Version 1.0  |  March 2026</w:t>
      </w:r>
    </w:p>
    <w:p>
      <w:pPr>
        <w:spacing w:before="200"/>
        <w:jc w:val="center"/>
      </w:pPr>
      <w:r>
        <w:rPr>
          <w:rFonts w:ascii="Arial" w:cs="Arial" w:eastAsia="Arial" w:hAnsi="Arial"/>
          <w:b/>
          <w:bCs/>
          <w:color w:val="CC0000"/>
          <w:sz w:val="22"/>
          <w:szCs w:val="22"/>
        </w:rPr>
        <w:t xml:space="preserve">Classification: CONFIDENTIAL</w:t>
      </w:r>
    </w:p>
    <w:p>
      <w:pPr>
        <w:spacing w:before="800"/>
      </w:pP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tblGrid>
      <w:tr>
        <w:trPr>
          <w:tblHeader/>
        </w:trPr>
        <w:tc>
          <w:tcPr>
            <w:tcW w:type="pct" w:w="50%"/>
            <w:shd w:color="1B3A5C" w:val="solid"/>
          </w:tcPr>
          <w:p>
            <w:r>
              <w:rPr>
                <w:rFonts w:ascii="Arial" w:cs="Arial" w:eastAsia="Arial" w:hAnsi="Arial"/>
                <w:b/>
                <w:bCs/>
                <w:color w:val="FFFFFF"/>
                <w:sz w:val="20"/>
                <w:szCs w:val="20"/>
              </w:rPr>
              <w:t xml:space="preserve">Field</w:t>
            </w:r>
          </w:p>
        </w:tc>
        <w:tc>
          <w:tcPr>
            <w:tcW w:type="pct" w:w="50%"/>
            <w:shd w:color="1B3A5C" w:val="solid"/>
          </w:tcPr>
          <w:p>
            <w:r>
              <w:rPr>
                <w:rFonts w:ascii="Arial" w:cs="Arial" w:eastAsia="Arial" w:hAnsi="Arial"/>
                <w:b/>
                <w:bCs/>
                <w:color w:val="FFFFFF"/>
                <w:sz w:val="20"/>
                <w:szCs w:val="20"/>
              </w:rPr>
              <w:t xml:space="preserve">Value</w:t>
            </w:r>
          </w:p>
        </w:tc>
      </w:tr>
      <w:tr>
        <w:tc>
          <w:p>
            <w:r>
              <w:rPr>
                <w:rFonts w:ascii="Arial" w:cs="Arial" w:eastAsia="Arial" w:hAnsi="Arial"/>
                <w:sz w:val="20"/>
                <w:szCs w:val="20"/>
              </w:rPr>
              <w:t xml:space="preserve">Document Owner</w:t>
            </w:r>
          </w:p>
        </w:tc>
        <w:tc>
          <w:p>
            <w:r>
              <w:rPr>
                <w:rFonts w:ascii="Arial" w:cs="Arial" w:eastAsia="Arial" w:hAnsi="Arial"/>
                <w:sz w:val="20"/>
                <w:szCs w:val="20"/>
              </w:rPr>
              <w:t>HPS AgentLink Compliance Officer</w:t>
            </w:r>
          </w:p>
        </w:tc>
      </w:tr>
      <w:tr>
        <w:tc>
          <w:p>
            <w:r>
              <w:rPr>
                <w:rFonts w:ascii="Arial" w:cs="Arial" w:eastAsia="Arial" w:hAnsi="Arial"/>
                <w:sz w:val="20"/>
                <w:szCs w:val="20"/>
              </w:rPr>
              <w:t xml:space="preserve">Version</w:t>
            </w:r>
          </w:p>
        </w:tc>
        <w:tc>
          <w:p>
            <w:r>
              <w:rPr>
                <w:rFonts w:ascii="Arial" w:cs="Arial" w:eastAsia="Arial" w:hAnsi="Arial"/>
                <w:sz w:val="20"/>
                <w:szCs w:val="20"/>
              </w:rPr>
              <w:t xml:space="preserve">1.0</w:t>
            </w:r>
          </w:p>
        </w:tc>
      </w:tr>
      <w:tr>
        <w:tc>
          <w:p>
            <w:r>
              <w:rPr>
                <w:rFonts w:ascii="Arial" w:cs="Arial" w:eastAsia="Arial" w:hAnsi="Arial"/>
                <w:sz w:val="20"/>
                <w:szCs w:val="20"/>
              </w:rPr>
              <w:t xml:space="preserve">Date</w:t>
            </w:r>
          </w:p>
        </w:tc>
        <w:tc>
          <w:p>
            <w:r>
              <w:rPr>
                <w:rFonts w:ascii="Arial" w:cs="Arial" w:eastAsia="Arial" w:hAnsi="Arial"/>
                <w:sz w:val="20"/>
                <w:szCs w:val="20"/>
              </w:rPr>
              <w:t xml:space="preserve">March 23, 2026</w:t>
            </w:r>
          </w:p>
        </w:tc>
      </w:tr>
      <w:tr>
        <w:tc>
          <w:p>
            <w:r>
              <w:rPr>
                <w:rFonts w:ascii="Arial" w:cs="Arial" w:eastAsia="Arial" w:hAnsi="Arial"/>
                <w:sz w:val="20"/>
                <w:szCs w:val="20"/>
              </w:rPr>
              <w:t xml:space="preserve">Review Cycle</w:t>
            </w:r>
          </w:p>
        </w:tc>
        <w:tc>
          <w:p>
            <w:r>
              <w:rPr>
                <w:rFonts w:ascii="Arial" w:cs="Arial" w:eastAsia="Arial" w:hAnsi="Arial"/>
                <w:sz w:val="20"/>
                <w:szCs w:val="20"/>
              </w:rPr>
              <w:t xml:space="preserve">Annual</w:t>
            </w:r>
          </w:p>
        </w:tc>
      </w:tr>
      <w:tr>
        <w:tc>
          <w:p>
            <w:r>
              <w:rPr>
                <w:rFonts w:ascii="Arial" w:cs="Arial" w:eastAsia="Arial" w:hAnsi="Arial"/>
                <w:sz w:val="20"/>
                <w:szCs w:val="20"/>
              </w:rPr>
              <w:t xml:space="preserve">Classification</w:t>
            </w:r>
          </w:p>
        </w:tc>
        <w:tc>
          <w:p>
            <w:r>
              <w:rPr>
                <w:rFonts w:ascii="Arial" w:cs="Arial" w:eastAsia="Arial" w:hAnsi="Arial"/>
                <w:sz w:val="20"/>
                <w:szCs w:val="20"/>
              </w:rPr>
              <w:t xml:space="preserve">Confidential</w:t>
            </w:r>
          </w:p>
        </w:tc>
      </w:tr>
      <w:tr>
        <w:tc>
          <w:p>
            <w:r>
              <w:rPr>
                <w:rFonts w:ascii="Arial" w:cs="Arial" w:eastAsia="Arial" w:hAnsi="Arial"/>
                <w:sz w:val="20"/>
                <w:szCs w:val="20"/>
              </w:rPr>
              <w:t xml:space="preserve">Applicable Regulations</w:t>
            </w:r>
          </w:p>
        </w:tc>
        <w:tc>
          <w:p>
            <w:r>
              <w:rPr>
                <w:rFonts w:ascii="Arial" w:cs="Arial" w:eastAsia="Arial" w:hAnsi="Arial"/>
                <w:sz w:val="20"/>
                <w:szCs w:val="20"/>
              </w:rPr>
              <w:t xml:space="preserve">HIPAA (45 CFR 164.530), CMS EDE Requirements, IRS Pub 1075, 26 USC 6103</w:t>
            </w:r>
          </w:p>
        </w:tc>
      </w:tr>
    </w:tbl>
    <w:p>
      <w:r>
        <w:br w:type="page"/>
      </w:r>
    </w:p>
    <w:p>
      <w:pPr>
        <w:pStyle w:val="Heading1"/>
        <w:spacing w:after="120" w:before="300"/>
      </w:pPr>
      <w:r>
        <w:rPr>
          <w:rFonts w:ascii="Arial" w:cs="Arial" w:eastAsia="Arial" w:hAnsi="Arial"/>
          <w:b/>
          <w:bCs/>
          <w:color w:val="1B3A5C"/>
          <w:sz w:val="32"/>
          <w:szCs w:val="32"/>
        </w:rPr>
        <w:t xml:space="preserve">1. Purpose</w:t>
      </w:r>
    </w:p>
    <w:p>
      <w:pPr>
        <w:spacing w:after="120"/>
        <w:jc w:val="both"/>
      </w:pPr>
      <w:r>
        <w:rPr>
          <w:rFonts w:ascii="Arial" w:cs="Arial" w:eastAsia="Arial" w:hAnsi="Arial"/>
          <w:b w:val="false"/>
          <w:bCs w:val="false"/>
          <w:i w:val="false"/>
          <w:iCs w:val="false"/>
          <w:sz w:val="22"/>
          <w:szCs w:val="22"/>
        </w:rPr>
        <w:t>This Data Retention and Destruction Policy establishes the requirements, schedules, and procedures for the retention and secure destruction of data processed by the HPS AgentLink Broker Portal. The policy ensures compliance with applicable federal regulations, including:</w:t>
      </w:r>
    </w:p>
    <w:p>
      <w:pPr>
        <w:pStyle w:val="ListParagraph"/>
        <w:numPr>
          <w:ilvl w:val="0"/>
          <w:numId w:val="1"/>
        </w:numPr>
        <w:spacing w:after="60"/>
      </w:pPr>
      <w:r>
        <w:rPr>
          <w:rFonts w:ascii="Arial" w:cs="Arial" w:eastAsia="Arial" w:hAnsi="Arial"/>
          <w:sz w:val="22"/>
          <w:szCs w:val="22"/>
        </w:rPr>
        <w:t xml:space="preserve">HIPAA Privacy Rule (45 CFR 164.530) requiring retention of privacy-related policies, procedures, and documentation for six years from the date of creation or the date when the document was last in effect, whichever is later.</w:t>
      </w:r>
    </w:p>
    <w:p>
      <w:pPr>
        <w:pStyle w:val="ListParagraph"/>
        <w:numPr>
          <w:ilvl w:val="0"/>
          <w:numId w:val="1"/>
        </w:numPr>
        <w:spacing w:after="60"/>
      </w:pPr>
      <w:r>
        <w:rPr>
          <w:rFonts w:ascii="Arial" w:cs="Arial" w:eastAsia="Arial" w:hAnsi="Arial"/>
          <w:sz w:val="22"/>
          <w:szCs w:val="22"/>
        </w:rPr>
        <w:t xml:space="preserve">CMS Enhanced Direct Enrollment (EDE) requirements mandating retention of enrollment records, consent documentation, and audit logs for specified periods.</w:t>
      </w:r>
    </w:p>
    <w:p>
      <w:pPr>
        <w:pStyle w:val="ListParagraph"/>
        <w:numPr>
          <w:ilvl w:val="0"/>
          <w:numId w:val="1"/>
        </w:numPr>
        <w:spacing w:after="60"/>
      </w:pPr>
      <w:r>
        <w:rPr>
          <w:rFonts w:ascii="Arial" w:cs="Arial" w:eastAsia="Arial" w:hAnsi="Arial"/>
          <w:sz w:val="22"/>
          <w:szCs w:val="22"/>
        </w:rPr>
        <w:t xml:space="preserve">IRS Publication 1075 governing the safeguarding, handling, and destruction of Federal Tax Information (FTI), requiring retention periods consistent with 26 USC 6103.</w:t>
      </w:r>
    </w:p>
    <w:p>
      <w:pPr>
        <w:pStyle w:val="ListParagraph"/>
        <w:numPr>
          <w:ilvl w:val="0"/>
          <w:numId w:val="1"/>
        </w:numPr>
        <w:spacing w:after="60"/>
      </w:pPr>
      <w:r>
        <w:rPr>
          <w:rFonts w:ascii="Arial" w:cs="Arial" w:eastAsia="Arial" w:hAnsi="Arial"/>
          <w:sz w:val="22"/>
          <w:szCs w:val="22"/>
        </w:rPr>
        <w:t xml:space="preserve">State-specific retention requirements for insurance enrollment records and agent/broker documentation.</w:t>
      </w:r>
    </w:p>
    <w:p>
      <w:pPr>
        <w:spacing w:after="120"/>
        <w:jc w:val="both"/>
      </w:pPr>
      <w:r>
        <w:rPr>
          <w:rFonts w:ascii="Arial" w:cs="Arial" w:eastAsia="Arial" w:hAnsi="Arial"/>
          <w:b w:val="false"/>
          <w:bCs w:val="false"/>
          <w:i w:val="false"/>
          <w:iCs w:val="false"/>
          <w:sz w:val="22"/>
          <w:szCs w:val="22"/>
        </w:rPr>
        <w:t xml:space="preserve">This policy applies uniformly to all data formats, including electronic records in databases, files stored on application servers, backup media, and any printed copies of system-generated documents.</w:t>
      </w:r>
    </w:p>
    <w:p>
      <w:pPr>
        <w:pStyle w:val="Heading1"/>
        <w:spacing w:after="120" w:before="300"/>
      </w:pPr>
      <w:r>
        <w:rPr>
          <w:rFonts w:ascii="Arial" w:cs="Arial" w:eastAsia="Arial" w:hAnsi="Arial"/>
          <w:b/>
          <w:bCs/>
          <w:color w:val="1B3A5C"/>
          <w:sz w:val="32"/>
          <w:szCs w:val="32"/>
        </w:rPr>
        <w:t xml:space="preserve">2. Scope</w:t>
      </w:r>
    </w:p>
    <w:p>
      <w:pPr>
        <w:spacing w:after="120"/>
        <w:jc w:val="both"/>
      </w:pPr>
      <w:r>
        <w:rPr>
          <w:rFonts w:ascii="Arial" w:cs="Arial" w:eastAsia="Arial" w:hAnsi="Arial"/>
          <w:b w:val="false"/>
          <w:bCs w:val="false"/>
          <w:i w:val="false"/>
          <w:iCs w:val="false"/>
          <w:sz w:val="22"/>
          <w:szCs w:val="22"/>
        </w:rPr>
        <w:t>This policy applies to all data collected, processed, stored, or transmitted by HPS AgentLink systems, including but not limited to:</w:t>
      </w:r>
    </w:p>
    <w:p>
      <w:pPr>
        <w:pStyle w:val="ListParagraph"/>
        <w:numPr>
          <w:ilvl w:val="0"/>
          <w:numId w:val="1"/>
        </w:numPr>
        <w:spacing w:after="60"/>
      </w:pPr>
      <w:r>
        <w:rPr>
          <w:rFonts w:ascii="Arial" w:cs="Arial" w:eastAsia="Arial" w:hAnsi="Arial"/>
          <w:sz w:val="22"/>
          <w:szCs w:val="22"/>
        </w:rPr>
        <w:t xml:space="preserve">Consumer personally identifiable information (PII), including name, date of birth, Social Security Number, address, and contact information.</w:t>
      </w:r>
    </w:p>
    <w:p>
      <w:pPr>
        <w:pStyle w:val="ListParagraph"/>
        <w:numPr>
          <w:ilvl w:val="0"/>
          <w:numId w:val="1"/>
        </w:numPr>
        <w:spacing w:after="60"/>
      </w:pPr>
      <w:r>
        <w:rPr>
          <w:rFonts w:ascii="Arial" w:cs="Arial" w:eastAsia="Arial" w:hAnsi="Arial"/>
          <w:sz w:val="22"/>
          <w:szCs w:val="22"/>
        </w:rPr>
        <w:t xml:space="preserve">Protected health information (PHI), including health plan selections, enrollment status, and eligibility determinations.</w:t>
      </w:r>
    </w:p>
    <w:p>
      <w:pPr>
        <w:pStyle w:val="ListParagraph"/>
        <w:numPr>
          <w:ilvl w:val="0"/>
          <w:numId w:val="1"/>
        </w:numPr>
        <w:spacing w:after="60"/>
      </w:pPr>
      <w:r>
        <w:rPr>
          <w:rFonts w:ascii="Arial" w:cs="Arial" w:eastAsia="Arial" w:hAnsi="Arial"/>
          <w:sz w:val="22"/>
          <w:szCs w:val="22"/>
        </w:rPr>
        <w:t xml:space="preserve">Federal Tax Information (FTI), including income data, tax filing status, and household composition used for APTC determination.</w:t>
      </w:r>
    </w:p>
    <w:p>
      <w:pPr>
        <w:pStyle w:val="ListParagraph"/>
        <w:numPr>
          <w:ilvl w:val="0"/>
          <w:numId w:val="1"/>
        </w:numPr>
        <w:spacing w:after="60"/>
      </w:pPr>
      <w:r>
        <w:rPr>
          <w:rFonts w:ascii="Arial" w:cs="Arial" w:eastAsia="Arial" w:hAnsi="Arial"/>
          <w:sz w:val="22"/>
          <w:szCs w:val="22"/>
        </w:rPr>
        <w:t xml:space="preserve">Enrollment application data, eligibility determination results, and plan selection records.</w:t>
      </w:r>
    </w:p>
    <w:p>
      <w:pPr>
        <w:pStyle w:val="ListParagraph"/>
        <w:numPr>
          <w:ilvl w:val="0"/>
          <w:numId w:val="1"/>
        </w:numPr>
        <w:spacing w:after="60"/>
      </w:pPr>
      <w:r>
        <w:rPr>
          <w:rFonts w:ascii="Arial" w:cs="Arial" w:eastAsia="Arial" w:hAnsi="Arial"/>
          <w:sz w:val="22"/>
          <w:szCs w:val="22"/>
        </w:rPr>
        <w:t xml:space="preserve">EDI 834 transaction records transmitted to and received from insurance carriers.</w:t>
      </w:r>
    </w:p>
    <w:p>
      <w:pPr>
        <w:pStyle w:val="ListParagraph"/>
        <w:numPr>
          <w:ilvl w:val="0"/>
          <w:numId w:val="1"/>
        </w:numPr>
        <w:spacing w:after="60"/>
      </w:pPr>
      <w:r>
        <w:rPr>
          <w:rFonts w:ascii="Arial" w:cs="Arial" w:eastAsia="Arial" w:hAnsi="Arial"/>
          <w:sz w:val="22"/>
          <w:szCs w:val="22"/>
        </w:rPr>
        <w:t xml:space="preserve">Consent records, including digital signatures, verbal consent documentation, and three-way call recordings.</w:t>
      </w:r>
    </w:p>
    <w:p>
      <w:pPr>
        <w:pStyle w:val="ListParagraph"/>
        <w:numPr>
          <w:ilvl w:val="0"/>
          <w:numId w:val="1"/>
        </w:numPr>
        <w:spacing w:after="60"/>
      </w:pPr>
      <w:r>
        <w:rPr>
          <w:rFonts w:ascii="Arial" w:cs="Arial" w:eastAsia="Arial" w:hAnsi="Arial"/>
          <w:sz w:val="22"/>
          <w:szCs w:val="22"/>
        </w:rPr>
        <w:t xml:space="preserve">Audit logs capturing all system access, data modifications, and administrative actions.</w:t>
      </w:r>
    </w:p>
    <w:p>
      <w:pPr>
        <w:pStyle w:val="ListParagraph"/>
        <w:numPr>
          <w:ilvl w:val="0"/>
          <w:numId w:val="1"/>
        </w:numPr>
        <w:spacing w:after="60"/>
      </w:pPr>
      <w:r>
        <w:rPr>
          <w:rFonts w:ascii="Arial" w:cs="Arial" w:eastAsia="Arial" w:hAnsi="Arial"/>
          <w:sz w:val="22"/>
          <w:szCs w:val="22"/>
        </w:rPr>
        <w:t xml:space="preserve">Agent/broker records, including NPN verification, license status, and commission data.</w:t>
      </w:r>
    </w:p>
    <w:p>
      <w:pPr>
        <w:pStyle w:val="ListParagraph"/>
        <w:numPr>
          <w:ilvl w:val="0"/>
          <w:numId w:val="1"/>
        </w:numPr>
        <w:spacing w:after="60"/>
      </w:pPr>
      <w:r>
        <w:rPr>
          <w:rFonts w:ascii="Arial" w:cs="Arial" w:eastAsia="Arial" w:hAnsi="Arial"/>
          <w:sz w:val="22"/>
          <w:szCs w:val="22"/>
        </w:rPr>
        <w:t xml:space="preserve">System configuration files, security policies, and operational procedures.</w:t>
      </w:r>
    </w:p>
    <w:p>
      <w:pPr>
        <w:pStyle w:val="ListParagraph"/>
        <w:numPr>
          <w:ilvl w:val="0"/>
          <w:numId w:val="1"/>
        </w:numPr>
        <w:spacing w:after="60"/>
      </w:pPr>
      <w:r>
        <w:rPr>
          <w:rFonts w:ascii="Arial" w:cs="Arial" w:eastAsia="Arial" w:hAnsi="Arial"/>
          <w:sz w:val="22"/>
          <w:szCs w:val="22"/>
        </w:rPr>
        <w:t xml:space="preserve">Backup media, archived data, and disaster recovery copies.</w:t>
      </w:r>
    </w:p>
    <w:p>
      <w:pPr>
        <w:spacing w:after="120"/>
        <w:jc w:val="both"/>
      </w:pPr>
      <w:r>
        <w:rPr>
          <w:rFonts w:ascii="Arial" w:cs="Arial" w:eastAsia="Arial" w:hAnsi="Arial"/>
          <w:b w:val="false"/>
          <w:bCs w:val="false"/>
          <w:i w:val="false"/>
          <w:iCs w:val="false"/>
          <w:sz w:val="22"/>
          <w:szCs w:val="22"/>
        </w:rPr>
        <w:t>All personnel with access to HPS AgentLink systems, including employees, contractors, and third-party service providers, are responsible for adhering to this policy.</w:t>
      </w:r>
    </w:p>
    <w:p>
      <w:pPr>
        <w:pStyle w:val="Heading1"/>
        <w:spacing w:after="120" w:before="300"/>
      </w:pPr>
      <w:r>
        <w:rPr>
          <w:rFonts w:ascii="Arial" w:cs="Arial" w:eastAsia="Arial" w:hAnsi="Arial"/>
          <w:b/>
          <w:bCs/>
          <w:color w:val="1B3A5C"/>
          <w:sz w:val="32"/>
          <w:szCs w:val="32"/>
        </w:rPr>
        <w:t xml:space="preserve">3. Retention Schedule</w:t>
      </w:r>
    </w:p>
    <w:p>
      <w:pPr>
        <w:spacing w:after="120"/>
        <w:jc w:val="both"/>
      </w:pPr>
      <w:r>
        <w:rPr>
          <w:rFonts w:ascii="Arial" w:cs="Arial" w:eastAsia="Arial" w:hAnsi="Arial"/>
          <w:b w:val="false"/>
          <w:bCs w:val="false"/>
          <w:i w:val="false"/>
          <w:iCs w:val="false"/>
          <w:sz w:val="22"/>
          <w:szCs w:val="22"/>
        </w:rPr>
        <w:t xml:space="preserve">The following table defines the minimum retention period for each data category. Retention periods are measured from the trigger event specified for each category:</w:t>
      </w:r>
    </w:p>
    <w:p>
      <w:pPr>
        <w:spacing w:before="120"/>
      </w:pPr>
    </w:p>
    <w:tbl>
      <w:tblPr>
        <w:tblW w:type="pct" w:w="100%"/>
        <w:tblBorders>
          <w:top w:val="single" w:color="auto" w:sz="4"/>
          <w:left w:val="single" w:color="auto" w:sz="4"/>
          <w:bottom w:val="single" w:color="auto" w:sz="4"/>
          <w:right w:val="single" w:color="auto" w:sz="4"/>
          <w:insideH w:val="single" w:color="auto" w:sz="4"/>
          <w:insideV w:val="single" w:color="auto" w:sz="4"/>
        </w:tblBorders>
      </w:tblPr>
      <w:tblGrid>
        <w:gridCol w:w="100"/>
        <w:gridCol w:w="100"/>
        <w:gridCol w:w="100"/>
        <w:gridCol w:w="100"/>
        <w:gridCol w:w="100"/>
      </w:tblGrid>
      <w:tr>
        <w:trPr>
          <w:tblHeader/>
        </w:trPr>
        <w:tc>
          <w:tcPr>
            <w:tcW w:type="pct" w:w="20%"/>
            <w:shd w:color="1B3A5C" w:val="solid"/>
          </w:tcPr>
          <w:p>
            <w:r>
              <w:rPr>
                <w:rFonts w:ascii="Arial" w:cs="Arial" w:eastAsia="Arial" w:hAnsi="Arial"/>
                <w:b/>
                <w:bCs/>
                <w:color w:val="FFFFFF"/>
                <w:sz w:val="20"/>
                <w:szCs w:val="20"/>
              </w:rPr>
              <w:t xml:space="preserve">Data Category</w:t>
            </w:r>
          </w:p>
        </w:tc>
        <w:tc>
          <w:tcPr>
            <w:tcW w:type="pct" w:w="20%"/>
            <w:shd w:color="1B3A5C" w:val="solid"/>
          </w:tcPr>
          <w:p>
            <w:r>
              <w:rPr>
                <w:rFonts w:ascii="Arial" w:cs="Arial" w:eastAsia="Arial" w:hAnsi="Arial"/>
                <w:b/>
                <w:bCs/>
                <w:color w:val="FFFFFF"/>
                <w:sz w:val="20"/>
                <w:szCs w:val="20"/>
              </w:rPr>
              <w:t xml:space="preserve">Retention Period</w:t>
            </w:r>
          </w:p>
        </w:tc>
        <w:tc>
          <w:tcPr>
            <w:tcW w:type="pct" w:w="20%"/>
            <w:shd w:color="1B3A5C" w:val="solid"/>
          </w:tcPr>
          <w:p>
            <w:r>
              <w:rPr>
                <w:rFonts w:ascii="Arial" w:cs="Arial" w:eastAsia="Arial" w:hAnsi="Arial"/>
                <w:b/>
                <w:bCs/>
                <w:color w:val="FFFFFF"/>
                <w:sz w:val="20"/>
                <w:szCs w:val="20"/>
              </w:rPr>
              <w:t xml:space="preserve">Trigger Event</w:t>
            </w:r>
          </w:p>
        </w:tc>
        <w:tc>
          <w:tcPr>
            <w:tcW w:type="pct" w:w="20%"/>
            <w:shd w:color="1B3A5C" w:val="solid"/>
          </w:tcPr>
          <w:p>
            <w:r>
              <w:rPr>
                <w:rFonts w:ascii="Arial" w:cs="Arial" w:eastAsia="Arial" w:hAnsi="Arial"/>
                <w:b/>
                <w:bCs/>
                <w:color w:val="FFFFFF"/>
                <w:sz w:val="20"/>
                <w:szCs w:val="20"/>
              </w:rPr>
              <w:t xml:space="preserve">Regulatory Basis</w:t>
            </w:r>
          </w:p>
        </w:tc>
        <w:tc>
          <w:tcPr>
            <w:tcW w:type="pct" w:w="20%"/>
            <w:shd w:color="1B3A5C" w:val="solid"/>
          </w:tcPr>
          <w:p>
            <w:r>
              <w:rPr>
                <w:rFonts w:ascii="Arial" w:cs="Arial" w:eastAsia="Arial" w:hAnsi="Arial"/>
                <w:b/>
                <w:bCs/>
                <w:color w:val="FFFFFF"/>
                <w:sz w:val="20"/>
                <w:szCs w:val="20"/>
              </w:rPr>
              <w:t xml:space="preserve">Storage Classification</w:t>
            </w:r>
          </w:p>
        </w:tc>
      </w:tr>
      <w:tr>
        <w:tc>
          <w:p>
            <w:r>
              <w:rPr>
                <w:rFonts w:ascii="Arial" w:cs="Arial" w:eastAsia="Arial" w:hAnsi="Arial"/>
                <w:sz w:val="20"/>
                <w:szCs w:val="20"/>
              </w:rPr>
              <w:t xml:space="preserve">Consent Records</w:t>
            </w:r>
          </w:p>
        </w:tc>
        <w:tc>
          <w:p>
            <w:r>
              <w:rPr>
                <w:rFonts w:ascii="Arial" w:cs="Arial" w:eastAsia="Arial" w:hAnsi="Arial"/>
                <w:sz w:val="20"/>
                <w:szCs w:val="20"/>
              </w:rPr>
              <w:t xml:space="preserve">10 years</w:t>
            </w:r>
          </w:p>
        </w:tc>
        <w:tc>
          <w:p>
            <w:r>
              <w:rPr>
                <w:rFonts w:ascii="Arial" w:cs="Arial" w:eastAsia="Arial" w:hAnsi="Arial"/>
                <w:sz w:val="20"/>
                <w:szCs w:val="20"/>
              </w:rPr>
              <w:t xml:space="preserve">Date of consent creation</w:t>
            </w:r>
          </w:p>
        </w:tc>
        <w:tc>
          <w:p>
            <w:r>
              <w:rPr>
                <w:rFonts w:ascii="Arial" w:cs="Arial" w:eastAsia="Arial" w:hAnsi="Arial"/>
                <w:sz w:val="20"/>
                <w:szCs w:val="20"/>
              </w:rPr>
              <w:t xml:space="preserve">HIPAA 45 CFR 164.530(j); CMS EDE Consent Requirements (C-CMS-02)</w:t>
            </w:r>
          </w:p>
        </w:tc>
        <w:tc>
          <w:p>
            <w:r>
              <w:rPr>
                <w:rFonts w:ascii="Arial" w:cs="Arial" w:eastAsia="Arial" w:hAnsi="Arial"/>
                <w:sz w:val="20"/>
                <w:szCs w:val="20"/>
              </w:rPr>
              <w:t xml:space="preserve">Encrypted at rest; immutable (no hard-delete)</w:t>
            </w:r>
          </w:p>
        </w:tc>
      </w:tr>
      <w:tr>
        <w:tc>
          <w:p>
            <w:r>
              <w:rPr>
                <w:rFonts w:ascii="Arial" w:cs="Arial" w:eastAsia="Arial" w:hAnsi="Arial"/>
                <w:sz w:val="20"/>
                <w:szCs w:val="20"/>
              </w:rPr>
              <w:t xml:space="preserve">Audit Logs</w:t>
            </w:r>
          </w:p>
        </w:tc>
        <w:tc>
          <w:p>
            <w:r>
              <w:rPr>
                <w:rFonts w:ascii="Arial" w:cs="Arial" w:eastAsia="Arial" w:hAnsi="Arial"/>
                <w:sz w:val="20"/>
                <w:szCs w:val="20"/>
              </w:rPr>
              <w:t xml:space="preserve">10 years</w:t>
            </w:r>
          </w:p>
        </w:tc>
        <w:tc>
          <w:p>
            <w:r>
              <w:rPr>
                <w:rFonts w:ascii="Arial" w:cs="Arial" w:eastAsia="Arial" w:hAnsi="Arial"/>
                <w:sz w:val="20"/>
                <w:szCs w:val="20"/>
              </w:rPr>
              <w:t xml:space="preserve">Date of log entry creation</w:t>
            </w:r>
          </w:p>
        </w:tc>
        <w:tc>
          <w:p>
            <w:r>
              <w:rPr>
                <w:rFonts w:ascii="Arial" w:cs="Arial" w:eastAsia="Arial" w:hAnsi="Arial"/>
                <w:sz w:val="20"/>
                <w:szCs w:val="20"/>
              </w:rPr>
              <w:t xml:space="preserve">CMS EDE Certification Requirements; HIPAA 45 CFR 164.312(b)</w:t>
            </w:r>
          </w:p>
        </w:tc>
        <w:tc>
          <w:p>
            <w:r>
              <w:rPr>
                <w:rFonts w:ascii="Arial" w:cs="Arial" w:eastAsia="Arial" w:hAnsi="Arial"/>
                <w:sz w:val="20"/>
                <w:szCs w:val="20"/>
              </w:rPr>
              <w:t xml:space="preserve">Encrypted at rest; append-only; immutable</w:t>
            </w:r>
          </w:p>
        </w:tc>
      </w:tr>
      <w:tr>
        <w:tc>
          <w:p>
            <w:r>
              <w:rPr>
                <w:rFonts w:ascii="Arial" w:cs="Arial" w:eastAsia="Arial" w:hAnsi="Arial"/>
                <w:sz w:val="20"/>
                <w:szCs w:val="20"/>
              </w:rPr>
              <w:t xml:space="preserve">Enrollment Applications</w:t>
            </w:r>
          </w:p>
        </w:tc>
        <w:tc>
          <w:p>
            <w:r>
              <w:rPr>
                <w:rFonts w:ascii="Arial" w:cs="Arial" w:eastAsia="Arial" w:hAnsi="Arial"/>
                <w:sz w:val="20"/>
                <w:szCs w:val="20"/>
              </w:rPr>
              <w:t xml:space="preserve">10 years</w:t>
            </w:r>
          </w:p>
        </w:tc>
        <w:tc>
          <w:p>
            <w:r>
              <w:rPr>
                <w:rFonts w:ascii="Arial" w:cs="Arial" w:eastAsia="Arial" w:hAnsi="Arial"/>
                <w:sz w:val="20"/>
                <w:szCs w:val="20"/>
              </w:rPr>
              <w:t xml:space="preserve">Enrollment effective date or application denial date</w:t>
            </w:r>
          </w:p>
        </w:tc>
        <w:tc>
          <w:p>
            <w:r>
              <w:rPr>
                <w:rFonts w:ascii="Arial" w:cs="Arial" w:eastAsia="Arial" w:hAnsi="Arial"/>
                <w:sz w:val="20"/>
                <w:szCs w:val="20"/>
              </w:rPr>
              <w:t xml:space="preserve">CMS EDE Requirements; HIPAA 45 CFR 164.530(j)</w:t>
            </w:r>
          </w:p>
        </w:tc>
        <w:tc>
          <w:p>
            <w:r>
              <w:rPr>
                <w:rFonts w:ascii="Arial" w:cs="Arial" w:eastAsia="Arial" w:hAnsi="Arial"/>
                <w:sz w:val="20"/>
                <w:szCs w:val="20"/>
              </w:rPr>
              <w:t xml:space="preserve">Encrypted at rest; soft-delete after retention</w:t>
            </w:r>
          </w:p>
        </w:tc>
      </w:tr>
      <w:tr>
        <w:tc>
          <w:p>
            <w:r>
              <w:rPr>
                <w:rFonts w:ascii="Arial" w:cs="Arial" w:eastAsia="Arial" w:hAnsi="Arial"/>
                <w:sz w:val="20"/>
                <w:szCs w:val="20"/>
              </w:rPr>
              <w:t xml:space="preserve">Client PII</w:t>
            </w:r>
          </w:p>
        </w:tc>
        <w:tc>
          <w:p>
            <w:r>
              <w:rPr>
                <w:rFonts w:ascii="Arial" w:cs="Arial" w:eastAsia="Arial" w:hAnsi="Arial"/>
                <w:sz w:val="20"/>
                <w:szCs w:val="20"/>
              </w:rPr>
              <w:t xml:space="preserve">Duration of relationship + 6 years</w:t>
            </w:r>
          </w:p>
        </w:tc>
        <w:tc>
          <w:p>
            <w:r>
              <w:rPr>
                <w:rFonts w:ascii="Arial" w:cs="Arial" w:eastAsia="Arial" w:hAnsi="Arial"/>
                <w:sz w:val="20"/>
                <w:szCs w:val="20"/>
              </w:rPr>
              <w:t xml:space="preserve">End of client relationship (last enrollment or explicit termination)</w:t>
            </w:r>
          </w:p>
        </w:tc>
        <w:tc>
          <w:p>
            <w:r>
              <w:rPr>
                <w:rFonts w:ascii="Arial" w:cs="Arial" w:eastAsia="Arial" w:hAnsi="Arial"/>
                <w:sz w:val="20"/>
                <w:szCs w:val="20"/>
              </w:rPr>
              <w:t xml:space="preserve">HIPAA 45 CFR 164.530(j); State insurance regulations</w:t>
            </w:r>
          </w:p>
        </w:tc>
        <w:tc>
          <w:p>
            <w:r>
              <w:rPr>
                <w:rFonts w:ascii="Arial" w:cs="Arial" w:eastAsia="Arial" w:hAnsi="Arial"/>
                <w:sz w:val="20"/>
                <w:szCs w:val="20"/>
              </w:rPr>
              <w:t xml:space="preserve">AES-256 encrypted; field-level encryption for SSN</w:t>
            </w:r>
          </w:p>
        </w:tc>
      </w:tr>
      <w:tr>
        <w:tc>
          <w:p>
            <w:r>
              <w:rPr>
                <w:rFonts w:ascii="Arial" w:cs="Arial" w:eastAsia="Arial" w:hAnsi="Arial"/>
                <w:sz w:val="20"/>
                <w:szCs w:val="20"/>
              </w:rPr>
              <w:t xml:space="preserve">EDI Transactions (834)</w:t>
            </w:r>
          </w:p>
        </w:tc>
        <w:tc>
          <w:p>
            <w:r>
              <w:rPr>
                <w:rFonts w:ascii="Arial" w:cs="Arial" w:eastAsia="Arial" w:hAnsi="Arial"/>
                <w:sz w:val="20"/>
                <w:szCs w:val="20"/>
              </w:rPr>
              <w:t xml:space="preserve">7 years</w:t>
            </w:r>
          </w:p>
        </w:tc>
        <w:tc>
          <w:p>
            <w:r>
              <w:rPr>
                <w:rFonts w:ascii="Arial" w:cs="Arial" w:eastAsia="Arial" w:hAnsi="Arial"/>
                <w:sz w:val="20"/>
                <w:szCs w:val="20"/>
              </w:rPr>
              <w:t xml:space="preserve">Transaction date</w:t>
            </w:r>
          </w:p>
        </w:tc>
        <w:tc>
          <w:p>
            <w:r>
              <w:rPr>
                <w:rFonts w:ascii="Arial" w:cs="Arial" w:eastAsia="Arial" w:hAnsi="Arial"/>
                <w:sz w:val="20"/>
                <w:szCs w:val="20"/>
              </w:rPr>
              <w:t xml:space="preserve">IRS Publication 1075 (FTI handling); 26 USC 6103</w:t>
            </w:r>
          </w:p>
        </w:tc>
        <w:tc>
          <w:p>
            <w:r>
              <w:rPr>
                <w:rFonts w:ascii="Arial" w:cs="Arial" w:eastAsia="Arial" w:hAnsi="Arial"/>
                <w:sz w:val="20"/>
                <w:szCs w:val="20"/>
              </w:rPr>
              <w:t xml:space="preserve">Encrypted at rest; archived after 2 years</w:t>
            </w:r>
          </w:p>
        </w:tc>
      </w:tr>
      <w:tr>
        <w:tc>
          <w:p>
            <w:r>
              <w:rPr>
                <w:rFonts w:ascii="Arial" w:cs="Arial" w:eastAsia="Arial" w:hAnsi="Arial"/>
                <w:sz w:val="20"/>
                <w:szCs w:val="20"/>
              </w:rPr>
              <w:t xml:space="preserve">Commission Records</w:t>
            </w:r>
          </w:p>
        </w:tc>
        <w:tc>
          <w:p>
            <w:r>
              <w:rPr>
                <w:rFonts w:ascii="Arial" w:cs="Arial" w:eastAsia="Arial" w:hAnsi="Arial"/>
                <w:sz w:val="20"/>
                <w:szCs w:val="20"/>
              </w:rPr>
              <w:t xml:space="preserve">7 years</w:t>
            </w:r>
          </w:p>
        </w:tc>
        <w:tc>
          <w:p>
            <w:r>
              <w:rPr>
                <w:rFonts w:ascii="Arial" w:cs="Arial" w:eastAsia="Arial" w:hAnsi="Arial"/>
                <w:sz w:val="20"/>
                <w:szCs w:val="20"/>
              </w:rPr>
              <w:t xml:space="preserve">Date of commission payment or adjustment</w:t>
            </w:r>
          </w:p>
        </w:tc>
        <w:tc>
          <w:p>
            <w:r>
              <w:rPr>
                <w:rFonts w:ascii="Arial" w:cs="Arial" w:eastAsia="Arial" w:hAnsi="Arial"/>
                <w:sz w:val="20"/>
                <w:szCs w:val="20"/>
              </w:rPr>
              <w:t xml:space="preserve">IRS business record requirements; State insurance regulations</w:t>
            </w:r>
          </w:p>
        </w:tc>
        <w:tc>
          <w:p>
            <w:r>
              <w:rPr>
                <w:rFonts w:ascii="Arial" w:cs="Arial" w:eastAsia="Arial" w:hAnsi="Arial"/>
                <w:sz w:val="20"/>
                <w:szCs w:val="20"/>
              </w:rPr>
              <w:t xml:space="preserve">Encrypted at rest; standard access controls</w:t>
            </w:r>
          </w:p>
        </w:tc>
      </w:tr>
      <w:tr>
        <w:tc>
          <w:p>
            <w:r>
              <w:rPr>
                <w:rFonts w:ascii="Arial" w:cs="Arial" w:eastAsia="Arial" w:hAnsi="Arial"/>
                <w:sz w:val="20"/>
                <w:szCs w:val="20"/>
              </w:rPr>
              <w:t xml:space="preserve">Verification Documents</w:t>
            </w:r>
          </w:p>
        </w:tc>
        <w:tc>
          <w:p>
            <w:r>
              <w:rPr>
                <w:rFonts w:ascii="Arial" w:cs="Arial" w:eastAsia="Arial" w:hAnsi="Arial"/>
                <w:sz w:val="20"/>
                <w:szCs w:val="20"/>
              </w:rPr>
              <w:t xml:space="preserve">3 years</w:t>
            </w:r>
          </w:p>
        </w:tc>
        <w:tc>
          <w:p>
            <w:r>
              <w:rPr>
                <w:rFonts w:ascii="Arial" w:cs="Arial" w:eastAsia="Arial" w:hAnsi="Arial"/>
                <w:sz w:val="20"/>
                <w:szCs w:val="20"/>
              </w:rPr>
              <w:t xml:space="preserve">Date of document upload</w:t>
            </w:r>
          </w:p>
        </w:tc>
        <w:tc>
          <w:p>
            <w:r>
              <w:rPr>
                <w:rFonts w:ascii="Arial" w:cs="Arial" w:eastAsia="Arial" w:hAnsi="Arial"/>
                <w:sz w:val="20"/>
                <w:szCs w:val="20"/>
              </w:rPr>
              <w:t xml:space="preserve">CMS verification requirements</w:t>
            </w:r>
          </w:p>
        </w:tc>
        <w:tc>
          <w:p>
            <w:r>
              <w:rPr>
                <w:rFonts w:ascii="Arial" w:cs="Arial" w:eastAsia="Arial" w:hAnsi="Arial"/>
                <w:sz w:val="20"/>
                <w:szCs w:val="20"/>
              </w:rPr>
              <w:t xml:space="preserve">Encrypted at rest; auto-archived after retention</w:t>
            </w:r>
          </w:p>
        </w:tc>
      </w:tr>
      <w:tr>
        <w:tc>
          <w:p>
            <w:r>
              <w:rPr>
                <w:rFonts w:ascii="Arial" w:cs="Arial" w:eastAsia="Arial" w:hAnsi="Arial"/>
                <w:sz w:val="20"/>
                <w:szCs w:val="20"/>
              </w:rPr>
              <w:t xml:space="preserve">Tax Documents (1095-A related)</w:t>
            </w:r>
          </w:p>
        </w:tc>
        <w:tc>
          <w:p>
            <w:r>
              <w:rPr>
                <w:rFonts w:ascii="Arial" w:cs="Arial" w:eastAsia="Arial" w:hAnsi="Arial"/>
                <w:sz w:val="20"/>
                <w:szCs w:val="20"/>
              </w:rPr>
              <w:t xml:space="preserve">7 years</w:t>
            </w:r>
          </w:p>
        </w:tc>
        <w:tc>
          <w:p>
            <w:r>
              <w:rPr>
                <w:rFonts w:ascii="Arial" w:cs="Arial" w:eastAsia="Arial" w:hAnsi="Arial"/>
                <w:sz w:val="20"/>
                <w:szCs w:val="20"/>
              </w:rPr>
              <w:t xml:space="preserve">Tax year end date</w:t>
            </w:r>
          </w:p>
        </w:tc>
        <w:tc>
          <w:p>
            <w:r>
              <w:rPr>
                <w:rFonts w:ascii="Arial" w:cs="Arial" w:eastAsia="Arial" w:hAnsi="Arial"/>
                <w:sz w:val="20"/>
                <w:szCs w:val="20"/>
              </w:rPr>
              <w:t xml:space="preserve">IRS Publication 1075; 26 USC 6103</w:t>
            </w:r>
          </w:p>
        </w:tc>
        <w:tc>
          <w:p>
            <w:r>
              <w:rPr>
                <w:rFonts w:ascii="Arial" w:cs="Arial" w:eastAsia="Arial" w:hAnsi="Arial"/>
                <w:sz w:val="20"/>
                <w:szCs w:val="20"/>
              </w:rPr>
              <w:t xml:space="preserve">FTI-level encryption and access controls</w:t>
            </w:r>
          </w:p>
        </w:tc>
      </w:tr>
      <w:tr>
        <w:tc>
          <w:p>
            <w:r>
              <w:rPr>
                <w:rFonts w:ascii="Arial" w:cs="Arial" w:eastAsia="Arial" w:hAnsi="Arial"/>
                <w:sz w:val="20"/>
                <w:szCs w:val="20"/>
              </w:rPr>
              <w:t xml:space="preserve">Session Logs</w:t>
            </w:r>
          </w:p>
        </w:tc>
        <w:tc>
          <w:p>
            <w:r>
              <w:rPr>
                <w:rFonts w:ascii="Arial" w:cs="Arial" w:eastAsia="Arial" w:hAnsi="Arial"/>
                <w:sz w:val="20"/>
                <w:szCs w:val="20"/>
              </w:rPr>
              <w:t xml:space="preserve">1 year</w:t>
            </w:r>
          </w:p>
        </w:tc>
        <w:tc>
          <w:p>
            <w:r>
              <w:rPr>
                <w:rFonts w:ascii="Arial" w:cs="Arial" w:eastAsia="Arial" w:hAnsi="Arial"/>
                <w:sz w:val="20"/>
                <w:szCs w:val="20"/>
              </w:rPr>
              <w:t xml:space="preserve">Date of session creation</w:t>
            </w:r>
          </w:p>
        </w:tc>
        <w:tc>
          <w:p>
            <w:r>
              <w:rPr>
                <w:rFonts w:ascii="Arial" w:cs="Arial" w:eastAsia="Arial" w:hAnsi="Arial"/>
                <w:sz w:val="20"/>
                <w:szCs w:val="20"/>
              </w:rPr>
              <w:t xml:space="preserve">Security best practices; CMS monitoring requirements</w:t>
            </w:r>
          </w:p>
        </w:tc>
        <w:tc>
          <w:p>
            <w:r>
              <w:rPr>
                <w:rFonts w:ascii="Arial" w:cs="Arial" w:eastAsia="Arial" w:hAnsi="Arial"/>
                <w:sz w:val="20"/>
                <w:szCs w:val="20"/>
              </w:rPr>
              <w:t xml:space="preserve">Encrypted at rest; auto-purged after retention</w:t>
            </w:r>
          </w:p>
        </w:tc>
      </w:tr>
      <w:tr>
        <w:tc>
          <w:p>
            <w:r>
              <w:rPr>
                <w:rFonts w:ascii="Arial" w:cs="Arial" w:eastAsia="Arial" w:hAnsi="Arial"/>
                <w:sz w:val="20"/>
                <w:szCs w:val="20"/>
              </w:rPr>
              <w:t xml:space="preserve">System Configuration Records</w:t>
            </w:r>
          </w:p>
        </w:tc>
        <w:tc>
          <w:p>
            <w:r>
              <w:rPr>
                <w:rFonts w:ascii="Arial" w:cs="Arial" w:eastAsia="Arial" w:hAnsi="Arial"/>
                <w:sz w:val="20"/>
                <w:szCs w:val="20"/>
              </w:rPr>
              <w:t xml:space="preserve">Permanent</w:t>
            </w:r>
          </w:p>
        </w:tc>
        <w:tc>
          <w:p>
            <w:r>
              <w:rPr>
                <w:rFonts w:ascii="Arial" w:cs="Arial" w:eastAsia="Arial" w:hAnsi="Arial"/>
                <w:sz w:val="20"/>
                <w:szCs w:val="20"/>
              </w:rPr>
              <w:t xml:space="preserve">N/A</w:t>
            </w:r>
          </w:p>
        </w:tc>
        <w:tc>
          <w:p>
            <w:r>
              <w:rPr>
                <w:rFonts w:ascii="Arial" w:cs="Arial" w:eastAsia="Arial" w:hAnsi="Arial"/>
                <w:sz w:val="20"/>
                <w:szCs w:val="20"/>
              </w:rPr>
              <w:t xml:space="preserve">Operational necessity; change management</w:t>
            </w:r>
          </w:p>
        </w:tc>
        <w:tc>
          <w:p>
            <w:r>
              <w:rPr>
                <w:rFonts w:ascii="Arial" w:cs="Arial" w:eastAsia="Arial" w:hAnsi="Arial"/>
                <w:sz w:val="20"/>
                <w:szCs w:val="20"/>
              </w:rPr>
              <w:t xml:space="preserve">Version-controlled; encrypted backups</w:t>
            </w:r>
          </w:p>
        </w:tc>
      </w:tr>
    </w:tbl>
    <w:p>
      <w:pPr>
        <w:spacing w:before="200"/>
      </w:pPr>
    </w:p>
    <w:p>
      <w:pPr>
        <w:spacing w:after="120"/>
        <w:jc w:val="both"/>
      </w:pPr>
      <w:r>
        <w:rPr>
          <w:rFonts w:ascii="Arial" w:cs="Arial" w:eastAsia="Arial" w:hAnsi="Arial"/>
          <w:b w:val="false"/>
          <w:bCs w:val="false"/>
          <w:i/>
          <w:iCs/>
          <w:sz w:val="22"/>
          <w:szCs w:val="22"/>
        </w:rPr>
        <w:t xml:space="preserve">Maximum Retention: Data shall not be retained beyond the specified retention period unless subject to a legal hold (Section 5) or required by a regulatory inquiry. Over-retention of data increases risk exposure and is prohibited.</w:t>
      </w:r>
    </w:p>
    <w:p>
      <w:pPr>
        <w:pStyle w:val="Heading1"/>
        <w:spacing w:after="120" w:before="300"/>
      </w:pPr>
      <w:r>
        <w:rPr>
          <w:rFonts w:ascii="Arial" w:cs="Arial" w:eastAsia="Arial" w:hAnsi="Arial"/>
          <w:b/>
          <w:bCs/>
          <w:color w:val="1B3A5C"/>
          <w:sz w:val="32"/>
          <w:szCs w:val="32"/>
        </w:rPr>
        <w:t xml:space="preserve">4. Data Destruction Methods</w:t>
      </w:r>
    </w:p>
    <w:p>
      <w:pPr>
        <w:spacing w:after="120"/>
        <w:jc w:val="both"/>
      </w:pPr>
      <w:r>
        <w:rPr>
          <w:rFonts w:ascii="Arial" w:cs="Arial" w:eastAsia="Arial" w:hAnsi="Arial"/>
          <w:b w:val="false"/>
          <w:bCs w:val="false"/>
          <w:i w:val="false"/>
          <w:iCs w:val="false"/>
          <w:sz w:val="22"/>
          <w:szCs w:val="22"/>
        </w:rPr>
        <w:t xml:space="preserve">When data reaches the end of its retention period and is not subject to legal hold, it must be destroyed using methods appropriate to the data classification and storage medium:</w:t>
      </w:r>
    </w:p>
    <w:p>
      <w:pPr>
        <w:pStyle w:val="Heading2"/>
        <w:spacing w:after="120" w:before="300"/>
      </w:pPr>
      <w:r>
        <w:rPr>
          <w:rFonts w:ascii="Arial" w:cs="Arial" w:eastAsia="Arial" w:hAnsi="Arial"/>
          <w:b/>
          <w:bCs/>
          <w:color w:val="1B3A5C"/>
          <w:sz w:val="26"/>
          <w:szCs w:val="26"/>
        </w:rPr>
        <w:t xml:space="preserve">4.1 Digital Data Destruction</w:t>
      </w:r>
    </w:p>
    <w:p>
      <w:pPr>
        <w:pStyle w:val="Heading3"/>
        <w:spacing w:after="120" w:before="300"/>
      </w:pPr>
      <w:r>
        <w:rPr>
          <w:rFonts w:ascii="Arial" w:cs="Arial" w:eastAsia="Arial" w:hAnsi="Arial"/>
          <w:b/>
          <w:bCs/>
          <w:color w:val="1B3A5C"/>
          <w:sz w:val="22"/>
          <w:szCs w:val="22"/>
        </w:rPr>
        <w:t xml:space="preserve">4.1.1 Cryptographic Erasure</w:t>
      </w:r>
    </w:p>
    <w:p>
      <w:pPr>
        <w:spacing w:after="120"/>
        <w:jc w:val="both"/>
      </w:pPr>
      <w:r>
        <w:rPr>
          <w:rFonts w:ascii="Arial" w:cs="Arial" w:eastAsia="Arial" w:hAnsi="Arial"/>
          <w:b w:val="false"/>
          <w:bCs w:val="false"/>
          <w:i w:val="false"/>
          <w:iCs w:val="false"/>
          <w:sz w:val="22"/>
          <w:szCs w:val="22"/>
        </w:rPr>
        <w:t>The primary method for destroying digital data within the HPS AgentLink platform. Cryptographic erasure involves the secure deletion of encryption keys used to protect the data, rendering the encrypted data permanently unrecoverable. This method is used for:</w:t>
      </w:r>
    </w:p>
    <w:p>
      <w:pPr>
        <w:pStyle w:val="ListParagraph"/>
        <w:numPr>
          <w:ilvl w:val="0"/>
          <w:numId w:val="1"/>
        </w:numPr>
        <w:spacing w:after="60"/>
      </w:pPr>
      <w:r>
        <w:rPr>
          <w:rFonts w:ascii="Arial" w:cs="Arial" w:eastAsia="Arial" w:hAnsi="Arial"/>
          <w:sz w:val="22"/>
          <w:szCs w:val="22"/>
        </w:rPr>
        <w:t xml:space="preserve">Database records encrypted with field-level or row-level encryption keys.</w:t>
      </w:r>
    </w:p>
    <w:p>
      <w:pPr>
        <w:pStyle w:val="ListParagraph"/>
        <w:numPr>
          <w:ilvl w:val="0"/>
          <w:numId w:val="1"/>
        </w:numPr>
        <w:spacing w:after="60"/>
      </w:pPr>
      <w:r>
        <w:rPr>
          <w:rFonts w:ascii="Arial" w:cs="Arial" w:eastAsia="Arial" w:hAnsi="Arial"/>
          <w:sz w:val="22"/>
          <w:szCs w:val="22"/>
        </w:rPr>
        <w:t xml:space="preserve">Archived data stored in encrypted storage volumes.</w:t>
      </w:r>
    </w:p>
    <w:p>
      <w:pPr>
        <w:pStyle w:val="ListParagraph"/>
        <w:numPr>
          <w:ilvl w:val="0"/>
          <w:numId w:val="1"/>
        </w:numPr>
        <w:spacing w:after="60"/>
      </w:pPr>
      <w:r>
        <w:rPr>
          <w:rFonts w:ascii="Arial" w:cs="Arial" w:eastAsia="Arial" w:hAnsi="Arial"/>
          <w:sz w:val="22"/>
          <w:szCs w:val="22"/>
        </w:rPr>
        <w:t xml:space="preserve">Backup media where individual record deletion is impractical.</w:t>
      </w:r>
    </w:p>
    <w:p>
      <w:pPr>
        <w:spacing w:after="120"/>
        <w:jc w:val="both"/>
      </w:pPr>
      <w:r>
        <w:rPr>
          <w:rFonts w:ascii="Arial" w:cs="Arial" w:eastAsia="Arial" w:hAnsi="Arial"/>
          <w:b w:val="false"/>
          <w:bCs w:val="false"/>
          <w:i w:val="false"/>
          <w:iCs w:val="false"/>
          <w:sz w:val="22"/>
          <w:szCs w:val="22"/>
        </w:rPr>
        <w:t xml:space="preserve">The encryption key management system maintains a destruction log recording the key identifier, destruction date, data scope affected, and authorizing personnel.</w:t>
      </w:r>
    </w:p>
    <w:p>
      <w:pPr>
        <w:pStyle w:val="Heading3"/>
        <w:spacing w:after="120" w:before="300"/>
      </w:pPr>
      <w:r>
        <w:rPr>
          <w:rFonts w:ascii="Arial" w:cs="Arial" w:eastAsia="Arial" w:hAnsi="Arial"/>
          <w:b/>
          <w:bCs/>
          <w:color w:val="1B3A5C"/>
          <w:sz w:val="22"/>
          <w:szCs w:val="22"/>
        </w:rPr>
        <w:t xml:space="preserve">4.1.2 Secure Overwrite</w:t>
      </w:r>
    </w:p>
    <w:p>
      <w:pPr>
        <w:spacing w:after="120"/>
        <w:jc w:val="both"/>
      </w:pPr>
      <w:r>
        <w:rPr>
          <w:rFonts w:ascii="Arial" w:cs="Arial" w:eastAsia="Arial" w:hAnsi="Arial"/>
          <w:b w:val="false"/>
          <w:bCs w:val="false"/>
          <w:i w:val="false"/>
          <w:iCs w:val="false"/>
          <w:sz w:val="22"/>
          <w:szCs w:val="22"/>
        </w:rPr>
        <w:t xml:space="preserve">For data stored on systems where cryptographic erasure is not applicable, secure overwrite following DOD 5220.22-M (3-pass overwrite) is employed. This involves:</w:t>
      </w:r>
    </w:p>
    <w:p>
      <w:pPr>
        <w:pStyle w:val="ListParagraph"/>
        <w:numPr>
          <w:ilvl w:val="0"/>
          <w:numId w:val="1"/>
        </w:numPr>
        <w:spacing w:after="60"/>
      </w:pPr>
      <w:r>
        <w:rPr>
          <w:rFonts w:ascii="Arial" w:cs="Arial" w:eastAsia="Arial" w:hAnsi="Arial"/>
          <w:sz w:val="22"/>
          <w:szCs w:val="22"/>
        </w:rPr>
        <w:t xml:space="preserve">Pass 1: Overwrite all addressable locations with binary zeros (0x00).</w:t>
      </w:r>
    </w:p>
    <w:p>
      <w:pPr>
        <w:pStyle w:val="ListParagraph"/>
        <w:numPr>
          <w:ilvl w:val="0"/>
          <w:numId w:val="1"/>
        </w:numPr>
        <w:spacing w:after="60"/>
      </w:pPr>
      <w:r>
        <w:rPr>
          <w:rFonts w:ascii="Arial" w:cs="Arial" w:eastAsia="Arial" w:hAnsi="Arial"/>
          <w:sz w:val="22"/>
          <w:szCs w:val="22"/>
        </w:rPr>
        <w:t xml:space="preserve">Pass 2: Overwrite all addressable locations with binary ones (0xFF).</w:t>
      </w:r>
    </w:p>
    <w:p>
      <w:pPr>
        <w:pStyle w:val="ListParagraph"/>
        <w:numPr>
          <w:ilvl w:val="0"/>
          <w:numId w:val="1"/>
        </w:numPr>
        <w:spacing w:after="60"/>
      </w:pPr>
      <w:r>
        <w:rPr>
          <w:rFonts w:ascii="Arial" w:cs="Arial" w:eastAsia="Arial" w:hAnsi="Arial"/>
          <w:sz w:val="22"/>
          <w:szCs w:val="22"/>
        </w:rPr>
        <w:t xml:space="preserve">Pass 3: Overwrite all addressable locations with a random bit pattern.</w:t>
      </w:r>
    </w:p>
    <w:p>
      <w:pPr>
        <w:pStyle w:val="ListParagraph"/>
        <w:numPr>
          <w:ilvl w:val="0"/>
          <w:numId w:val="1"/>
        </w:numPr>
        <w:spacing w:after="60"/>
      </w:pPr>
      <w:r>
        <w:rPr>
          <w:rFonts w:ascii="Arial" w:cs="Arial" w:eastAsia="Arial" w:hAnsi="Arial"/>
          <w:sz w:val="22"/>
          <w:szCs w:val="22"/>
        </w:rPr>
        <w:t xml:space="preserve">Verification: Read-back verification to confirm successful overwrite.</w:t>
      </w:r>
    </w:p>
    <w:p>
      <w:pPr>
        <w:pStyle w:val="Heading2"/>
        <w:spacing w:after="120" w:before="300"/>
      </w:pPr>
      <w:r>
        <w:rPr>
          <w:rFonts w:ascii="Arial" w:cs="Arial" w:eastAsia="Arial" w:hAnsi="Arial"/>
          <w:b/>
          <w:bCs/>
          <w:color w:val="1B3A5C"/>
          <w:sz w:val="26"/>
          <w:szCs w:val="26"/>
        </w:rPr>
        <w:t xml:space="preserve">4.2 Physical Media Destruction</w:t>
      </w:r>
    </w:p>
    <w:p>
      <w:pPr>
        <w:spacing w:after="120"/>
        <w:jc w:val="both"/>
      </w:pPr>
      <w:r>
        <w:rPr>
          <w:rFonts w:ascii="Arial" w:cs="Arial" w:eastAsia="Arial" w:hAnsi="Arial"/>
          <w:b w:val="false"/>
          <w:bCs w:val="false"/>
          <w:i w:val="false"/>
          <w:iCs w:val="false"/>
          <w:sz w:val="22"/>
          <w:szCs w:val="22"/>
        </w:rPr>
        <w:t>Physical media that has contained HPS AgentLink data must be destroyed using the following methods:</w:t>
      </w:r>
    </w:p>
    <w:p>
      <w:pPr>
        <w:pStyle w:val="ListParagraph"/>
        <w:numPr>
          <w:ilvl w:val="0"/>
          <w:numId w:val="1"/>
        </w:numPr>
        <w:spacing w:after="60"/>
      </w:pPr>
      <w:r>
        <w:rPr>
          <w:rFonts w:ascii="Arial" w:cs="Arial" w:eastAsia="Arial" w:hAnsi="Arial"/>
          <w:sz w:val="22"/>
          <w:szCs w:val="22"/>
        </w:rPr>
        <w:t xml:space="preserve">Hard Disk Drives (HDD): Degaussing followed by physical destruction (shredding or crushing) per NIST SP 800-88 Rev. 1 guidelines.</w:t>
      </w:r>
    </w:p>
    <w:p>
      <w:pPr>
        <w:pStyle w:val="ListParagraph"/>
        <w:numPr>
          <w:ilvl w:val="0"/>
          <w:numId w:val="1"/>
        </w:numPr>
        <w:spacing w:after="60"/>
      </w:pPr>
      <w:r>
        <w:rPr>
          <w:rFonts w:ascii="Arial" w:cs="Arial" w:eastAsia="Arial" w:hAnsi="Arial"/>
          <w:sz w:val="22"/>
          <w:szCs w:val="22"/>
        </w:rPr>
        <w:t xml:space="preserve">Solid State Drives (SSD): Cryptographic erasure (ATA Secure Erase or manufacturer-specific secure erase) followed by physical destruction.</w:t>
      </w:r>
    </w:p>
    <w:p>
      <w:pPr>
        <w:pStyle w:val="ListParagraph"/>
        <w:numPr>
          <w:ilvl w:val="0"/>
          <w:numId w:val="1"/>
        </w:numPr>
        <w:spacing w:after="60"/>
      </w:pPr>
      <w:r>
        <w:rPr>
          <w:rFonts w:ascii="Arial" w:cs="Arial" w:eastAsia="Arial" w:hAnsi="Arial"/>
          <w:sz w:val="22"/>
          <w:szCs w:val="22"/>
        </w:rPr>
        <w:t xml:space="preserve">Optical Media (CD/DVD): Cross-cut shredding with a maximum particle size of 0.5mm x 5mm.</w:t>
      </w:r>
    </w:p>
    <w:p>
      <w:pPr>
        <w:pStyle w:val="ListParagraph"/>
        <w:numPr>
          <w:ilvl w:val="0"/>
          <w:numId w:val="1"/>
        </w:numPr>
        <w:spacing w:after="60"/>
      </w:pPr>
      <w:r>
        <w:rPr>
          <w:rFonts w:ascii="Arial" w:cs="Arial" w:eastAsia="Arial" w:hAnsi="Arial"/>
          <w:sz w:val="22"/>
          <w:szCs w:val="22"/>
        </w:rPr>
        <w:t xml:space="preserve">Paper Documents: Cross-cut shredding per DIN 66399 Security Level P-4 or higher.</w:t>
      </w:r>
    </w:p>
    <w:p>
      <w:pPr>
        <w:pStyle w:val="ListParagraph"/>
        <w:numPr>
          <w:ilvl w:val="0"/>
          <w:numId w:val="1"/>
        </w:numPr>
        <w:spacing w:after="60"/>
      </w:pPr>
      <w:r>
        <w:rPr>
          <w:rFonts w:ascii="Arial" w:cs="Arial" w:eastAsia="Arial" w:hAnsi="Arial"/>
          <w:sz w:val="22"/>
          <w:szCs w:val="22"/>
        </w:rPr>
        <w:t xml:space="preserve">Backup Tapes: Degaussing followed by physical destruction.</w:t>
      </w:r>
    </w:p>
    <w:p>
      <w:pPr>
        <w:pStyle w:val="Heading2"/>
        <w:spacing w:after="120" w:before="300"/>
      </w:pPr>
      <w:r>
        <w:rPr>
          <w:rFonts w:ascii="Arial" w:cs="Arial" w:eastAsia="Arial" w:hAnsi="Arial"/>
          <w:b/>
          <w:bCs/>
          <w:color w:val="1B3A5C"/>
          <w:sz w:val="26"/>
          <w:szCs w:val="26"/>
        </w:rPr>
        <w:t xml:space="preserve">4.3 Destruction Verification</w:t>
      </w:r>
    </w:p>
    <w:p>
      <w:pPr>
        <w:spacing w:after="120"/>
        <w:jc w:val="both"/>
      </w:pPr>
      <w:r>
        <w:rPr>
          <w:rFonts w:ascii="Arial" w:cs="Arial" w:eastAsia="Arial" w:hAnsi="Arial"/>
          <w:b w:val="false"/>
          <w:bCs w:val="false"/>
          <w:i w:val="false"/>
          <w:iCs w:val="false"/>
          <w:sz w:val="22"/>
          <w:szCs w:val="22"/>
        </w:rPr>
        <w:t xml:space="preserve">All data destruction activities must be documented with a Certificate of Destruction that includes:</w:t>
      </w:r>
    </w:p>
    <w:p>
      <w:pPr>
        <w:pStyle w:val="ListParagraph"/>
        <w:numPr>
          <w:ilvl w:val="0"/>
          <w:numId w:val="1"/>
        </w:numPr>
        <w:spacing w:after="60"/>
      </w:pPr>
      <w:r>
        <w:rPr>
          <w:rFonts w:ascii="Arial" w:cs="Arial" w:eastAsia="Arial" w:hAnsi="Arial"/>
          <w:sz w:val="22"/>
          <w:szCs w:val="22"/>
        </w:rPr>
        <w:t xml:space="preserve">Description of data destroyed (category, date range, volume).</w:t>
      </w:r>
    </w:p>
    <w:p>
      <w:pPr>
        <w:pStyle w:val="ListParagraph"/>
        <w:numPr>
          <w:ilvl w:val="0"/>
          <w:numId w:val="1"/>
        </w:numPr>
        <w:spacing w:after="60"/>
      </w:pPr>
      <w:r>
        <w:rPr>
          <w:rFonts w:ascii="Arial" w:cs="Arial" w:eastAsia="Arial" w:hAnsi="Arial"/>
          <w:sz w:val="22"/>
          <w:szCs w:val="22"/>
        </w:rPr>
        <w:t xml:space="preserve">Destruction method employed.</w:t>
      </w:r>
    </w:p>
    <w:p>
      <w:pPr>
        <w:pStyle w:val="ListParagraph"/>
        <w:numPr>
          <w:ilvl w:val="0"/>
          <w:numId w:val="1"/>
        </w:numPr>
        <w:spacing w:after="60"/>
      </w:pPr>
      <w:r>
        <w:rPr>
          <w:rFonts w:ascii="Arial" w:cs="Arial" w:eastAsia="Arial" w:hAnsi="Arial"/>
          <w:sz w:val="22"/>
          <w:szCs w:val="22"/>
        </w:rPr>
        <w:t xml:space="preserve">Date and time of destruction.</w:t>
      </w:r>
    </w:p>
    <w:p>
      <w:pPr>
        <w:pStyle w:val="ListParagraph"/>
        <w:numPr>
          <w:ilvl w:val="0"/>
          <w:numId w:val="1"/>
        </w:numPr>
        <w:spacing w:after="60"/>
      </w:pPr>
      <w:r>
        <w:rPr>
          <w:rFonts w:ascii="Arial" w:cs="Arial" w:eastAsia="Arial" w:hAnsi="Arial"/>
          <w:sz w:val="22"/>
          <w:szCs w:val="22"/>
        </w:rPr>
        <w:t xml:space="preserve">Name and signature of personnel performing destruction.</w:t>
      </w:r>
    </w:p>
    <w:p>
      <w:pPr>
        <w:pStyle w:val="ListParagraph"/>
        <w:numPr>
          <w:ilvl w:val="0"/>
          <w:numId w:val="1"/>
        </w:numPr>
        <w:spacing w:after="60"/>
      </w:pPr>
      <w:r>
        <w:rPr>
          <w:rFonts w:ascii="Arial" w:cs="Arial" w:eastAsia="Arial" w:hAnsi="Arial"/>
          <w:sz w:val="22"/>
          <w:szCs w:val="22"/>
        </w:rPr>
        <w:t xml:space="preserve">Name and signature of witness (required for P1/P2 classified data).</w:t>
      </w:r>
    </w:p>
    <w:p>
      <w:pPr>
        <w:pStyle w:val="ListParagraph"/>
        <w:numPr>
          <w:ilvl w:val="0"/>
          <w:numId w:val="1"/>
        </w:numPr>
        <w:spacing w:after="60"/>
      </w:pPr>
      <w:r>
        <w:rPr>
          <w:rFonts w:ascii="Arial" w:cs="Arial" w:eastAsia="Arial" w:hAnsi="Arial"/>
          <w:sz w:val="22"/>
          <w:szCs w:val="22"/>
        </w:rPr>
        <w:t xml:space="preserve">Serial numbers of physical media destroyed, where applicable.</w:t>
      </w:r>
    </w:p>
    <w:p>
      <w:pPr>
        <w:spacing w:after="120"/>
        <w:jc w:val="both"/>
      </w:pPr>
      <w:r>
        <w:rPr>
          <w:rFonts w:ascii="Arial" w:cs="Arial" w:eastAsia="Arial" w:hAnsi="Arial"/>
          <w:b w:val="false"/>
          <w:bCs w:val="false"/>
          <w:i w:val="false"/>
          <w:iCs w:val="false"/>
          <w:sz w:val="22"/>
          <w:szCs w:val="22"/>
        </w:rPr>
        <w:t xml:space="preserve">Certificates of Destruction are retained permanently as part of the compliance documentation archive.</w:t>
      </w:r>
    </w:p>
    <w:p>
      <w:pPr>
        <w:pStyle w:val="Heading1"/>
        <w:spacing w:after="120" w:before="300"/>
      </w:pPr>
      <w:r>
        <w:rPr>
          <w:rFonts w:ascii="Arial" w:cs="Arial" w:eastAsia="Arial" w:hAnsi="Arial"/>
          <w:b/>
          <w:bCs/>
          <w:color w:val="1B3A5C"/>
          <w:sz w:val="32"/>
          <w:szCs w:val="32"/>
        </w:rPr>
        <w:t xml:space="preserve">5. Legal Hold Procedures</w:t>
      </w:r>
    </w:p>
    <w:p>
      <w:pPr>
        <w:spacing w:after="120"/>
        <w:jc w:val="both"/>
      </w:pPr>
      <w:r>
        <w:rPr>
          <w:rFonts w:ascii="Arial" w:cs="Arial" w:eastAsia="Arial" w:hAnsi="Arial"/>
          <w:b w:val="false"/>
          <w:bCs w:val="false"/>
          <w:i w:val="false"/>
          <w:iCs w:val="false"/>
          <w:sz w:val="22"/>
          <w:szCs w:val="22"/>
        </w:rPr>
        <w:t xml:space="preserve">A legal hold suspends all data retention schedules and destruction activities for data that may be relevant to pending or reasonably anticipated litigation, regulatory investigation, or audit:</w:t>
      </w:r>
    </w:p>
    <w:p>
      <w:pPr>
        <w:pStyle w:val="Heading2"/>
        <w:spacing w:after="120" w:before="300"/>
      </w:pPr>
      <w:r>
        <w:rPr>
          <w:rFonts w:ascii="Arial" w:cs="Arial" w:eastAsia="Arial" w:hAnsi="Arial"/>
          <w:b/>
          <w:bCs/>
          <w:color w:val="1B3A5C"/>
          <w:sz w:val="26"/>
          <w:szCs w:val="26"/>
        </w:rPr>
        <w:t xml:space="preserve">5.1 Initiation</w:t>
      </w:r>
    </w:p>
    <w:p>
      <w:pPr>
        <w:pStyle w:val="ListParagraph"/>
        <w:numPr>
          <w:ilvl w:val="0"/>
          <w:numId w:val="1"/>
        </w:numPr>
        <w:spacing w:after="60"/>
      </w:pPr>
      <w:r>
        <w:rPr>
          <w:rFonts w:ascii="Arial" w:cs="Arial" w:eastAsia="Arial" w:hAnsi="Arial"/>
          <w:sz w:val="22"/>
          <w:szCs w:val="22"/>
        </w:rPr>
        <w:t xml:space="preserve">Legal holds are initiated by Legal Counsel upon notification of litigation, subpoena, regulatory inquiry, or other legal obligation.</w:t>
      </w:r>
    </w:p>
    <w:p>
      <w:pPr>
        <w:pStyle w:val="ListParagraph"/>
        <w:numPr>
          <w:ilvl w:val="0"/>
          <w:numId w:val="1"/>
        </w:numPr>
        <w:spacing w:after="60"/>
      </w:pPr>
      <w:r>
        <w:rPr>
          <w:rFonts w:ascii="Arial" w:cs="Arial" w:eastAsia="Arial" w:hAnsi="Arial"/>
          <w:sz w:val="22"/>
          <w:szCs w:val="22"/>
        </w:rPr>
        <w:t xml:space="preserve">The hold notice specifies the scope of data to be preserved, including date ranges, data categories, affected systems, and custodians.</w:t>
      </w:r>
    </w:p>
    <w:p>
      <w:pPr>
        <w:pStyle w:val="ListParagraph"/>
        <w:numPr>
          <w:ilvl w:val="0"/>
          <w:numId w:val="1"/>
        </w:numPr>
        <w:spacing w:after="60"/>
      </w:pPr>
      <w:r>
        <w:rPr>
          <w:rFonts w:ascii="Arial" w:cs="Arial" w:eastAsia="Arial" w:hAnsi="Arial"/>
          <w:sz w:val="22"/>
          <w:szCs w:val="22"/>
        </w:rPr>
        <w:t xml:space="preserve">The CISO and Engineering Lead are notified immediately upon hold initiation to implement technical preservation measures.</w:t>
      </w:r>
    </w:p>
    <w:p>
      <w:pPr>
        <w:pStyle w:val="Heading2"/>
        <w:spacing w:after="120" w:before="300"/>
      </w:pPr>
      <w:r>
        <w:rPr>
          <w:rFonts w:ascii="Arial" w:cs="Arial" w:eastAsia="Arial" w:hAnsi="Arial"/>
          <w:b/>
          <w:bCs/>
          <w:color w:val="1B3A5C"/>
          <w:sz w:val="26"/>
          <w:szCs w:val="26"/>
        </w:rPr>
        <w:t xml:space="preserve">5.2 Preservation</w:t>
      </w:r>
    </w:p>
    <w:p>
      <w:pPr>
        <w:pStyle w:val="ListParagraph"/>
        <w:numPr>
          <w:ilvl w:val="0"/>
          <w:numId w:val="1"/>
        </w:numPr>
        <w:spacing w:after="60"/>
      </w:pPr>
      <w:r>
        <w:rPr>
          <w:rFonts w:ascii="Arial" w:cs="Arial" w:eastAsia="Arial" w:hAnsi="Arial"/>
          <w:sz w:val="22"/>
          <w:szCs w:val="22"/>
        </w:rPr>
        <w:t xml:space="preserve">All automated retention and destruction workflows are suspended for data within the scope of the hold.</w:t>
      </w:r>
    </w:p>
    <w:p>
      <w:pPr>
        <w:pStyle w:val="ListParagraph"/>
        <w:numPr>
          <w:ilvl w:val="0"/>
          <w:numId w:val="1"/>
        </w:numPr>
        <w:spacing w:after="60"/>
      </w:pPr>
      <w:r>
        <w:rPr>
          <w:rFonts w:ascii="Arial" w:cs="Arial" w:eastAsia="Arial" w:hAnsi="Arial"/>
          <w:sz w:val="22"/>
          <w:szCs w:val="22"/>
        </w:rPr>
        <w:t xml:space="preserve">Affected data is flagged in the system with a legal hold marker preventing soft-delete, archival, or modification.</w:t>
      </w:r>
    </w:p>
    <w:p>
      <w:pPr>
        <w:pStyle w:val="ListParagraph"/>
        <w:numPr>
          <w:ilvl w:val="0"/>
          <w:numId w:val="1"/>
        </w:numPr>
        <w:spacing w:after="60"/>
      </w:pPr>
      <w:r>
        <w:rPr>
          <w:rFonts w:ascii="Arial" w:cs="Arial" w:eastAsia="Arial" w:hAnsi="Arial"/>
          <w:sz w:val="22"/>
          <w:szCs w:val="22"/>
        </w:rPr>
        <w:t xml:space="preserve">Backup rotation schedules are adjusted to ensure preservation of relevant backup sets.</w:t>
      </w:r>
    </w:p>
    <w:p>
      <w:pPr>
        <w:pStyle w:val="ListParagraph"/>
        <w:numPr>
          <w:ilvl w:val="0"/>
          <w:numId w:val="1"/>
        </w:numPr>
        <w:spacing w:after="60"/>
      </w:pPr>
      <w:r>
        <w:rPr>
          <w:rFonts w:ascii="Arial" w:cs="Arial" w:eastAsia="Arial" w:hAnsi="Arial"/>
          <w:sz w:val="22"/>
          <w:szCs w:val="22"/>
        </w:rPr>
        <w:t xml:space="preserve">Custodians of potentially relevant data receive written notification of their preservation obligations.</w:t>
      </w:r>
    </w:p>
    <w:p>
      <w:pPr>
        <w:pStyle w:val="Heading2"/>
        <w:spacing w:after="120" w:before="300"/>
      </w:pPr>
      <w:r>
        <w:rPr>
          <w:rFonts w:ascii="Arial" w:cs="Arial" w:eastAsia="Arial" w:hAnsi="Arial"/>
          <w:b/>
          <w:bCs/>
          <w:color w:val="1B3A5C"/>
          <w:sz w:val="26"/>
          <w:szCs w:val="26"/>
        </w:rPr>
        <w:t xml:space="preserve">5.3 Release</w:t>
      </w:r>
    </w:p>
    <w:p>
      <w:pPr>
        <w:pStyle w:val="ListParagraph"/>
        <w:numPr>
          <w:ilvl w:val="0"/>
          <w:numId w:val="1"/>
        </w:numPr>
        <w:spacing w:after="60"/>
      </w:pPr>
      <w:r>
        <w:rPr>
          <w:rFonts w:ascii="Arial" w:cs="Arial" w:eastAsia="Arial" w:hAnsi="Arial"/>
          <w:sz w:val="22"/>
          <w:szCs w:val="22"/>
        </w:rPr>
        <w:t xml:space="preserve">Legal holds are released only by written authorization from Legal Counsel.</w:t>
      </w:r>
    </w:p>
    <w:p>
      <w:pPr>
        <w:pStyle w:val="ListParagraph"/>
        <w:numPr>
          <w:ilvl w:val="0"/>
          <w:numId w:val="1"/>
        </w:numPr>
        <w:spacing w:after="60"/>
      </w:pPr>
      <w:r>
        <w:rPr>
          <w:rFonts w:ascii="Arial" w:cs="Arial" w:eastAsia="Arial" w:hAnsi="Arial"/>
          <w:sz w:val="22"/>
          <w:szCs w:val="22"/>
        </w:rPr>
        <w:t xml:space="preserve">Upon release, normal retention schedules resume. Data that has exceeded its retention period during the hold is queued for destruction.</w:t>
      </w:r>
    </w:p>
    <w:p>
      <w:pPr>
        <w:pStyle w:val="ListParagraph"/>
        <w:numPr>
          <w:ilvl w:val="0"/>
          <w:numId w:val="1"/>
        </w:numPr>
        <w:spacing w:after="60"/>
      </w:pPr>
      <w:r>
        <w:rPr>
          <w:rFonts w:ascii="Arial" w:cs="Arial" w:eastAsia="Arial" w:hAnsi="Arial"/>
          <w:sz w:val="22"/>
          <w:szCs w:val="22"/>
        </w:rPr>
        <w:t xml:space="preserve">Release notifications are sent to all custodians and technical personnel.</w:t>
      </w:r>
    </w:p>
    <w:p>
      <w:pPr>
        <w:pStyle w:val="ListParagraph"/>
        <w:numPr>
          <w:ilvl w:val="0"/>
          <w:numId w:val="1"/>
        </w:numPr>
        <w:spacing w:after="60"/>
      </w:pPr>
      <w:r>
        <w:rPr>
          <w:rFonts w:ascii="Arial" w:cs="Arial" w:eastAsia="Arial" w:hAnsi="Arial"/>
          <w:sz w:val="22"/>
          <w:szCs w:val="22"/>
        </w:rPr>
        <w:t xml:space="preserve">The legal hold register is updated with the release date and authorizing attorney.</w:t>
      </w:r>
    </w:p>
    <w:p>
      <w:pPr>
        <w:pStyle w:val="Heading2"/>
        <w:spacing w:after="120" w:before="300"/>
      </w:pPr>
      <w:r>
        <w:rPr>
          <w:rFonts w:ascii="Arial" w:cs="Arial" w:eastAsia="Arial" w:hAnsi="Arial"/>
          <w:b/>
          <w:bCs/>
          <w:color w:val="1B3A5C"/>
          <w:sz w:val="26"/>
          <w:szCs w:val="26"/>
        </w:rPr>
        <w:t xml:space="preserve">5.4 Legal Hold Register</w:t>
      </w:r>
    </w:p>
    <w:p>
      <w:pPr>
        <w:spacing w:after="120"/>
        <w:jc w:val="both"/>
      </w:pPr>
      <w:r>
        <w:rPr>
          <w:rFonts w:ascii="Arial" w:cs="Arial" w:eastAsia="Arial" w:hAnsi="Arial"/>
          <w:b w:val="false"/>
          <w:bCs w:val="false"/>
          <w:i w:val="false"/>
          <w:iCs w:val="false"/>
          <w:sz w:val="22"/>
          <w:szCs w:val="22"/>
        </w:rPr>
        <w:t xml:space="preserve">A centralized legal hold register is maintained by Legal Counsel, documenting all active and historical holds, including:</w:t>
      </w:r>
    </w:p>
    <w:p>
      <w:pPr>
        <w:pStyle w:val="ListParagraph"/>
        <w:numPr>
          <w:ilvl w:val="0"/>
          <w:numId w:val="1"/>
        </w:numPr>
        <w:spacing w:after="60"/>
      </w:pPr>
      <w:r>
        <w:rPr>
          <w:rFonts w:ascii="Arial" w:cs="Arial" w:eastAsia="Arial" w:hAnsi="Arial"/>
          <w:sz w:val="22"/>
          <w:szCs w:val="22"/>
        </w:rPr>
        <w:t xml:space="preserve">Hold identifier and initiation date.</w:t>
      </w:r>
    </w:p>
    <w:p>
      <w:pPr>
        <w:pStyle w:val="ListParagraph"/>
        <w:numPr>
          <w:ilvl w:val="0"/>
          <w:numId w:val="1"/>
        </w:numPr>
        <w:spacing w:after="60"/>
      </w:pPr>
      <w:r>
        <w:rPr>
          <w:rFonts w:ascii="Arial" w:cs="Arial" w:eastAsia="Arial" w:hAnsi="Arial"/>
          <w:sz w:val="22"/>
          <w:szCs w:val="22"/>
        </w:rPr>
        <w:t xml:space="preserve">Matter description and legal basis.</w:t>
      </w:r>
    </w:p>
    <w:p>
      <w:pPr>
        <w:pStyle w:val="ListParagraph"/>
        <w:numPr>
          <w:ilvl w:val="0"/>
          <w:numId w:val="1"/>
        </w:numPr>
        <w:spacing w:after="60"/>
      </w:pPr>
      <w:r>
        <w:rPr>
          <w:rFonts w:ascii="Arial" w:cs="Arial" w:eastAsia="Arial" w:hAnsi="Arial"/>
          <w:sz w:val="22"/>
          <w:szCs w:val="22"/>
        </w:rPr>
        <w:t xml:space="preserve">Scope definition (data categories, date ranges, custodians, systems).</w:t>
      </w:r>
    </w:p>
    <w:p>
      <w:pPr>
        <w:pStyle w:val="ListParagraph"/>
        <w:numPr>
          <w:ilvl w:val="0"/>
          <w:numId w:val="1"/>
        </w:numPr>
        <w:spacing w:after="60"/>
      </w:pPr>
      <w:r>
        <w:rPr>
          <w:rFonts w:ascii="Arial" w:cs="Arial" w:eastAsia="Arial" w:hAnsi="Arial"/>
          <w:sz w:val="22"/>
          <w:szCs w:val="22"/>
        </w:rPr>
        <w:t xml:space="preserve">Current status (active, released, extended).</w:t>
      </w:r>
    </w:p>
    <w:p>
      <w:pPr>
        <w:pStyle w:val="ListParagraph"/>
        <w:numPr>
          <w:ilvl w:val="0"/>
          <w:numId w:val="1"/>
        </w:numPr>
        <w:spacing w:after="60"/>
      </w:pPr>
      <w:r>
        <w:rPr>
          <w:rFonts w:ascii="Arial" w:cs="Arial" w:eastAsia="Arial" w:hAnsi="Arial"/>
          <w:sz w:val="22"/>
          <w:szCs w:val="22"/>
        </w:rPr>
        <w:t xml:space="preserve">Release date and authorizing attorney (if released).</w:t>
      </w:r>
    </w:p>
    <w:p>
      <w:pPr>
        <w:pStyle w:val="Heading1"/>
        <w:spacing w:after="120" w:before="300"/>
      </w:pPr>
      <w:r>
        <w:rPr>
          <w:rFonts w:ascii="Arial" w:cs="Arial" w:eastAsia="Arial" w:hAnsi="Arial"/>
          <w:b/>
          <w:bCs/>
          <w:color w:val="1B3A5C"/>
          <w:sz w:val="32"/>
          <w:szCs w:val="32"/>
        </w:rPr>
        <w:t xml:space="preserve">6. Implementation</w:t>
      </w:r>
    </w:p>
    <w:p>
      <w:pPr>
        <w:spacing w:after="120"/>
        <w:jc w:val="both"/>
      </w:pPr>
      <w:r>
        <w:rPr>
          <w:rFonts w:ascii="Arial" w:cs="Arial" w:eastAsia="Arial" w:hAnsi="Arial"/>
          <w:b w:val="false"/>
          <w:bCs w:val="false"/>
          <w:i w:val="false"/>
          <w:iCs w:val="false"/>
          <w:sz w:val="22"/>
          <w:szCs w:val="22"/>
        </w:rPr>
        <w:t>The following technical and procedural mechanisms implement this policy within the HPS AgentLink platform:</w:t>
      </w:r>
    </w:p>
    <w:p>
      <w:pPr>
        <w:pStyle w:val="Heading2"/>
        <w:spacing w:after="120" w:before="300"/>
      </w:pPr>
      <w:r>
        <w:rPr>
          <w:rFonts w:ascii="Arial" w:cs="Arial" w:eastAsia="Arial" w:hAnsi="Arial"/>
          <w:b/>
          <w:bCs/>
          <w:color w:val="1B3A5C"/>
          <w:sz w:val="26"/>
          <w:szCs w:val="26"/>
        </w:rPr>
        <w:t xml:space="preserve">6.1 Automated Retention Workflows</w:t>
      </w:r>
    </w:p>
    <w:p>
      <w:pPr>
        <w:spacing w:after="120"/>
        <w:jc w:val="both"/>
      </w:pPr>
      <w:r>
        <w:rPr>
          <w:rFonts w:ascii="Arial" w:cs="Arial" w:eastAsia="Arial" w:hAnsi="Arial"/>
          <w:b w:val="false"/>
          <w:bCs w:val="false"/>
          <w:i w:val="false"/>
          <w:iCs w:val="false"/>
          <w:sz w:val="22"/>
          <w:szCs w:val="22"/>
        </w:rPr>
        <w:t xml:space="preserve">The RetentionWorkflows.tsx component implements automated data lifecycle management:</w:t>
      </w:r>
    </w:p>
    <w:p>
      <w:pPr>
        <w:pStyle w:val="ListParagraph"/>
        <w:numPr>
          <w:ilvl w:val="0"/>
          <w:numId w:val="1"/>
        </w:numPr>
        <w:spacing w:after="60"/>
      </w:pPr>
      <w:r>
        <w:rPr>
          <w:rFonts w:ascii="Arial" w:cs="Arial" w:eastAsia="Arial" w:hAnsi="Arial"/>
          <w:sz w:val="22"/>
          <w:szCs w:val="22"/>
        </w:rPr>
        <w:t xml:space="preserve">Retention Clock Tracking: Each data record includes metadata tracking creation date, last modification date, and applicable retention trigger event. The system automatically calculates retention expiration dates.</w:t>
      </w:r>
    </w:p>
    <w:p>
      <w:pPr>
        <w:pStyle w:val="ListParagraph"/>
        <w:numPr>
          <w:ilvl w:val="0"/>
          <w:numId w:val="1"/>
        </w:numPr>
        <w:spacing w:after="60"/>
      </w:pPr>
      <w:r>
        <w:rPr>
          <w:rFonts w:ascii="Arial" w:cs="Arial" w:eastAsia="Arial" w:hAnsi="Arial"/>
          <w:sz w:val="22"/>
          <w:szCs w:val="22"/>
        </w:rPr>
        <w:t xml:space="preserve">Pre-Expiration Notification: 90 days before retention expiration, the system generates a notification to the Data Steward for review. Records may be flagged for extended retention if business need is documented and approved.</w:t>
      </w:r>
    </w:p>
    <w:p>
      <w:pPr>
        <w:pStyle w:val="ListParagraph"/>
        <w:numPr>
          <w:ilvl w:val="0"/>
          <w:numId w:val="1"/>
        </w:numPr>
        <w:spacing w:after="60"/>
      </w:pPr>
      <w:r>
        <w:rPr>
          <w:rFonts w:ascii="Arial" w:cs="Arial" w:eastAsia="Arial" w:hAnsi="Arial"/>
          <w:sz w:val="22"/>
          <w:szCs w:val="22"/>
        </w:rPr>
        <w:t xml:space="preserve">Automated Soft-Delete: Upon retention expiration and Data Steward confirmation, records are soft-deleted. Soft-deleted records are excluded from application queries but remain in the database for the grace period.</w:t>
      </w:r>
    </w:p>
    <w:p>
      <w:pPr>
        <w:pStyle w:val="ListParagraph"/>
        <w:numPr>
          <w:ilvl w:val="0"/>
          <w:numId w:val="1"/>
        </w:numPr>
        <w:spacing w:after="60"/>
      </w:pPr>
      <w:r>
        <w:rPr>
          <w:rFonts w:ascii="Arial" w:cs="Arial" w:eastAsia="Arial" w:hAnsi="Arial"/>
          <w:sz w:val="22"/>
          <w:szCs w:val="22"/>
        </w:rPr>
        <w:t xml:space="preserve">Grace Period: A 30-day grace period follows soft-delete, during which records can be restored if needed. After the grace period, records are queued for cryptographic erasure.</w:t>
      </w:r>
    </w:p>
    <w:p>
      <w:pPr>
        <w:pStyle w:val="Heading2"/>
        <w:spacing w:after="120" w:before="300"/>
      </w:pPr>
      <w:r>
        <w:rPr>
          <w:rFonts w:ascii="Arial" w:cs="Arial" w:eastAsia="Arial" w:hAnsi="Arial"/>
          <w:b/>
          <w:bCs/>
          <w:color w:val="1B3A5C"/>
          <w:sz w:val="26"/>
          <w:szCs w:val="26"/>
        </w:rPr>
        <w:t xml:space="preserve">6.2 Soft-Delete Pattern</w:t>
      </w:r>
    </w:p>
    <w:p>
      <w:pPr>
        <w:spacing w:after="120"/>
        <w:jc w:val="both"/>
      </w:pPr>
      <w:r>
        <w:rPr>
          <w:rFonts w:ascii="Arial" w:cs="Arial" w:eastAsia="Arial" w:hAnsi="Arial"/>
          <w:b w:val="false"/>
          <w:bCs w:val="false"/>
          <w:i w:val="false"/>
          <w:iCs w:val="false"/>
          <w:sz w:val="22"/>
          <w:szCs w:val="22"/>
        </w:rPr>
        <w:t>The HPS AgentLink data model implements a consistent soft-delete pattern across all data entities:</w:t>
      </w:r>
    </w:p>
    <w:p>
      <w:pPr>
        <w:pStyle w:val="ListParagraph"/>
        <w:numPr>
          <w:ilvl w:val="0"/>
          <w:numId w:val="1"/>
        </w:numPr>
        <w:spacing w:after="60"/>
      </w:pPr>
      <w:r>
        <w:rPr>
          <w:rFonts w:ascii="Arial" w:cs="Arial" w:eastAsia="Arial" w:hAnsi="Arial"/>
          <w:sz w:val="22"/>
          <w:szCs w:val="22"/>
        </w:rPr>
        <w:t xml:space="preserve">All primary data tables include deletedAt (timestamp), deletedBy (user ID), and deletionReason (enumerated) columns.</w:t>
      </w:r>
    </w:p>
    <w:p>
      <w:pPr>
        <w:pStyle w:val="ListParagraph"/>
        <w:numPr>
          <w:ilvl w:val="0"/>
          <w:numId w:val="1"/>
        </w:numPr>
        <w:spacing w:after="60"/>
      </w:pPr>
      <w:r>
        <w:rPr>
          <w:rFonts w:ascii="Arial" w:cs="Arial" w:eastAsia="Arial" w:hAnsi="Arial"/>
          <w:sz w:val="22"/>
          <w:szCs w:val="22"/>
        </w:rPr>
        <w:t xml:space="preserve">Application-level queries automatically filter soft-deleted records using Prisma middleware.</w:t>
      </w:r>
    </w:p>
    <w:p>
      <w:pPr>
        <w:pStyle w:val="ListParagraph"/>
        <w:numPr>
          <w:ilvl w:val="0"/>
          <w:numId w:val="1"/>
        </w:numPr>
        <w:spacing w:after="60"/>
      </w:pPr>
      <w:r>
        <w:rPr>
          <w:rFonts w:ascii="Arial" w:cs="Arial" w:eastAsia="Arial" w:hAnsi="Arial"/>
          <w:sz w:val="22"/>
          <w:szCs w:val="22"/>
        </w:rPr>
        <w:t xml:space="preserve">Soft-deleted records remain accessible to administrators and compliance personnel through dedicated interfaces.</w:t>
      </w:r>
    </w:p>
    <w:p>
      <w:pPr>
        <w:pStyle w:val="ListParagraph"/>
        <w:numPr>
          <w:ilvl w:val="0"/>
          <w:numId w:val="1"/>
        </w:numPr>
        <w:spacing w:after="60"/>
      </w:pPr>
      <w:r>
        <w:rPr>
          <w:rFonts w:ascii="Arial" w:cs="Arial" w:eastAsia="Arial" w:hAnsi="Arial"/>
          <w:sz w:val="22"/>
          <w:szCs w:val="22"/>
        </w:rPr>
        <w:t xml:space="preserve">The soft-delete pattern ensures data can be recovered during the grace period without database restoration.</w:t>
      </w:r>
    </w:p>
    <w:p>
      <w:pPr>
        <w:pStyle w:val="Heading2"/>
        <w:spacing w:after="120" w:before="300"/>
      </w:pPr>
      <w:r>
        <w:rPr>
          <w:rFonts w:ascii="Arial" w:cs="Arial" w:eastAsia="Arial" w:hAnsi="Arial"/>
          <w:b/>
          <w:bCs/>
          <w:color w:val="1B3A5C"/>
          <w:sz w:val="26"/>
          <w:szCs w:val="26"/>
        </w:rPr>
        <w:t xml:space="preserve">6.3 Immutable Records</w:t>
      </w:r>
    </w:p>
    <w:p>
      <w:pPr>
        <w:spacing w:after="120"/>
        <w:jc w:val="both"/>
      </w:pPr>
      <w:r>
        <w:rPr>
          <w:rFonts w:ascii="Arial" w:cs="Arial" w:eastAsia="Arial" w:hAnsi="Arial"/>
          <w:b w:val="false"/>
          <w:bCs w:val="false"/>
          <w:i w:val="false"/>
          <w:iCs w:val="false"/>
          <w:sz w:val="22"/>
          <w:szCs w:val="22"/>
        </w:rPr>
        <w:t xml:space="preserve">Certain record categories are designated as immutable and are exempt from destruction:</w:t>
      </w:r>
    </w:p>
    <w:p>
      <w:pPr>
        <w:pStyle w:val="ListParagraph"/>
        <w:numPr>
          <w:ilvl w:val="0"/>
          <w:numId w:val="1"/>
        </w:numPr>
        <w:spacing w:after="60"/>
      </w:pPr>
      <w:r>
        <w:rPr>
          <w:rFonts w:ascii="Arial" w:cs="Arial" w:eastAsia="Arial" w:hAnsi="Arial"/>
          <w:sz w:val="22"/>
          <w:szCs w:val="22"/>
        </w:rPr>
        <w:t xml:space="preserve">Consent Records: Original consent records are never hard-deleted. After the 10-year retention period, PII within consent records is masked (pseudonymized), but the consent event metadata (timestamp, type, associated enrollment ID) is preserved permanently.</w:t>
      </w:r>
    </w:p>
    <w:p>
      <w:pPr>
        <w:pStyle w:val="ListParagraph"/>
        <w:numPr>
          <w:ilvl w:val="0"/>
          <w:numId w:val="1"/>
        </w:numPr>
        <w:spacing w:after="60"/>
      </w:pPr>
      <w:r>
        <w:rPr>
          <w:rFonts w:ascii="Arial" w:cs="Arial" w:eastAsia="Arial" w:hAnsi="Arial"/>
          <w:sz w:val="22"/>
          <w:szCs w:val="22"/>
        </w:rPr>
        <w:t xml:space="preserve">Audit Log Entries: Audit log entries are append-only and cannot be modified or deleted by any user, including system administrators. Audit logs are retained in an immutable, tamper-evident format.</w:t>
      </w:r>
    </w:p>
    <w:p>
      <w:pPr>
        <w:spacing w:after="120"/>
        <w:jc w:val="both"/>
      </w:pPr>
      <w:r>
        <w:rPr>
          <w:rFonts w:ascii="Arial" w:cs="Arial" w:eastAsia="Arial" w:hAnsi="Arial"/>
          <w:b w:val="false"/>
          <w:bCs w:val="false"/>
          <w:i w:val="false"/>
          <w:iCs w:val="false"/>
          <w:sz w:val="22"/>
          <w:szCs w:val="22"/>
        </w:rPr>
        <w:t xml:space="preserve">This approach ensures regulatory compliance while minimizing PII exposure in long-term storage.</w:t>
      </w:r>
    </w:p>
    <w:p>
      <w:pPr>
        <w:pStyle w:val="Heading1"/>
        <w:spacing w:after="120" w:before="300"/>
      </w:pPr>
      <w:r>
        <w:rPr>
          <w:rFonts w:ascii="Arial" w:cs="Arial" w:eastAsia="Arial" w:hAnsi="Arial"/>
          <w:b/>
          <w:bCs/>
          <w:color w:val="1B3A5C"/>
          <w:sz w:val="32"/>
          <w:szCs w:val="32"/>
        </w:rPr>
        <w:t xml:space="preserve">7. Monitoring and Compliance</w:t>
      </w:r>
    </w:p>
    <w:p>
      <w:pPr>
        <w:pStyle w:val="Heading2"/>
        <w:spacing w:after="120" w:before="300"/>
      </w:pPr>
      <w:r>
        <w:rPr>
          <w:rFonts w:ascii="Arial" w:cs="Arial" w:eastAsia="Arial" w:hAnsi="Arial"/>
          <w:b/>
          <w:bCs/>
          <w:color w:val="1B3A5C"/>
          <w:sz w:val="26"/>
          <w:szCs w:val="26"/>
        </w:rPr>
        <w:t xml:space="preserve">7.1 Quarterly Retention Audits</w:t>
      </w:r>
    </w:p>
    <w:p>
      <w:pPr>
        <w:spacing w:after="120"/>
        <w:jc w:val="both"/>
      </w:pPr>
      <w:r>
        <w:rPr>
          <w:rFonts w:ascii="Arial" w:cs="Arial" w:eastAsia="Arial" w:hAnsi="Arial"/>
          <w:b w:val="false"/>
          <w:bCs w:val="false"/>
          <w:i w:val="false"/>
          <w:iCs w:val="false"/>
          <w:sz w:val="22"/>
          <w:szCs w:val="22"/>
        </w:rPr>
        <w:t xml:space="preserve">The Compliance team conducts quarterly audits of data retention practices, including:</w:t>
      </w:r>
    </w:p>
    <w:p>
      <w:pPr>
        <w:pStyle w:val="ListParagraph"/>
        <w:numPr>
          <w:ilvl w:val="0"/>
          <w:numId w:val="1"/>
        </w:numPr>
        <w:spacing w:after="60"/>
      </w:pPr>
      <w:r>
        <w:rPr>
          <w:rFonts w:ascii="Arial" w:cs="Arial" w:eastAsia="Arial" w:hAnsi="Arial"/>
          <w:sz w:val="22"/>
          <w:szCs w:val="22"/>
        </w:rPr>
        <w:t xml:space="preserve">Verification that automated retention workflows are functioning correctly.</w:t>
      </w:r>
    </w:p>
    <w:p>
      <w:pPr>
        <w:pStyle w:val="ListParagraph"/>
        <w:numPr>
          <w:ilvl w:val="0"/>
          <w:numId w:val="1"/>
        </w:numPr>
        <w:spacing w:after="60"/>
      </w:pPr>
      <w:r>
        <w:rPr>
          <w:rFonts w:ascii="Arial" w:cs="Arial" w:eastAsia="Arial" w:hAnsi="Arial"/>
          <w:sz w:val="22"/>
          <w:szCs w:val="22"/>
        </w:rPr>
        <w:t xml:space="preserve">Review of data volumes by category to identify unexpected retention patterns.</w:t>
      </w:r>
    </w:p>
    <w:p>
      <w:pPr>
        <w:pStyle w:val="ListParagraph"/>
        <w:numPr>
          <w:ilvl w:val="0"/>
          <w:numId w:val="1"/>
        </w:numPr>
        <w:spacing w:after="60"/>
      </w:pPr>
      <w:r>
        <w:rPr>
          <w:rFonts w:ascii="Arial" w:cs="Arial" w:eastAsia="Arial" w:hAnsi="Arial"/>
          <w:sz w:val="22"/>
          <w:szCs w:val="22"/>
        </w:rPr>
        <w:t xml:space="preserve">Confirmation that soft-deleted records are being processed through the destruction pipeline on schedule.</w:t>
      </w:r>
    </w:p>
    <w:p>
      <w:pPr>
        <w:pStyle w:val="ListParagraph"/>
        <w:numPr>
          <w:ilvl w:val="0"/>
          <w:numId w:val="1"/>
        </w:numPr>
        <w:spacing w:after="60"/>
      </w:pPr>
      <w:r>
        <w:rPr>
          <w:rFonts w:ascii="Arial" w:cs="Arial" w:eastAsia="Arial" w:hAnsi="Arial"/>
          <w:sz w:val="22"/>
          <w:szCs w:val="22"/>
        </w:rPr>
        <w:t xml:space="preserve">Validation that legal holds are properly applied and data within hold scope is preserved.</w:t>
      </w:r>
    </w:p>
    <w:p>
      <w:pPr>
        <w:pStyle w:val="ListParagraph"/>
        <w:numPr>
          <w:ilvl w:val="0"/>
          <w:numId w:val="1"/>
        </w:numPr>
        <w:spacing w:after="60"/>
      </w:pPr>
      <w:r>
        <w:rPr>
          <w:rFonts w:ascii="Arial" w:cs="Arial" w:eastAsia="Arial" w:hAnsi="Arial"/>
          <w:sz w:val="22"/>
          <w:szCs w:val="22"/>
        </w:rPr>
        <w:t xml:space="preserve">Spot-check of destruction certificates for completeness and accuracy.</w:t>
      </w:r>
    </w:p>
    <w:p>
      <w:pPr>
        <w:pStyle w:val="ListParagraph"/>
        <w:numPr>
          <w:ilvl w:val="0"/>
          <w:numId w:val="1"/>
        </w:numPr>
        <w:spacing w:after="60"/>
      </w:pPr>
      <w:r>
        <w:rPr>
          <w:rFonts w:ascii="Arial" w:cs="Arial" w:eastAsia="Arial" w:hAnsi="Arial"/>
          <w:sz w:val="22"/>
          <w:szCs w:val="22"/>
        </w:rPr>
        <w:t xml:space="preserve">Review of access logs for data approaching or past retention expiration to identify unauthorized retention.</w:t>
      </w:r>
    </w:p>
    <w:p>
      <w:pPr>
        <w:pStyle w:val="Heading2"/>
        <w:spacing w:after="120" w:before="300"/>
      </w:pPr>
      <w:r>
        <w:rPr>
          <w:rFonts w:ascii="Arial" w:cs="Arial" w:eastAsia="Arial" w:hAnsi="Arial"/>
          <w:b/>
          <w:bCs/>
          <w:color w:val="1B3A5C"/>
          <w:sz w:val="26"/>
          <w:szCs w:val="26"/>
        </w:rPr>
        <w:t xml:space="preserve">7.2 Annual Policy Review</w:t>
      </w:r>
    </w:p>
    <w:p>
      <w:pPr>
        <w:spacing w:after="120"/>
        <w:jc w:val="both"/>
      </w:pPr>
      <w:r>
        <w:rPr>
          <w:rFonts w:ascii="Arial" w:cs="Arial" w:eastAsia="Arial" w:hAnsi="Arial"/>
          <w:b w:val="false"/>
          <w:bCs w:val="false"/>
          <w:i w:val="false"/>
          <w:iCs w:val="false"/>
          <w:sz w:val="22"/>
          <w:szCs w:val="22"/>
        </w:rPr>
        <w:t xml:space="preserve">This policy is reviewed annually by the Compliance Officer, CISO, and Legal Counsel to ensure:</w:t>
      </w:r>
    </w:p>
    <w:p>
      <w:pPr>
        <w:pStyle w:val="ListParagraph"/>
        <w:numPr>
          <w:ilvl w:val="0"/>
          <w:numId w:val="1"/>
        </w:numPr>
        <w:spacing w:after="60"/>
      </w:pPr>
      <w:r>
        <w:rPr>
          <w:rFonts w:ascii="Arial" w:cs="Arial" w:eastAsia="Arial" w:hAnsi="Arial"/>
          <w:sz w:val="22"/>
          <w:szCs w:val="22"/>
        </w:rPr>
        <w:t xml:space="preserve">Alignment with current regulatory requirements, including any changes to HIPAA, CMS EDE, or IRS regulations.</w:t>
      </w:r>
    </w:p>
    <w:p>
      <w:pPr>
        <w:pStyle w:val="ListParagraph"/>
        <w:numPr>
          <w:ilvl w:val="0"/>
          <w:numId w:val="1"/>
        </w:numPr>
        <w:spacing w:after="60"/>
      </w:pPr>
      <w:r>
        <w:rPr>
          <w:rFonts w:ascii="Arial" w:cs="Arial" w:eastAsia="Arial" w:hAnsi="Arial"/>
          <w:sz w:val="22"/>
          <w:szCs w:val="22"/>
        </w:rPr>
        <w:t xml:space="preserve">Accuracy of retention periods based on operational experience and legal guidance.</w:t>
      </w:r>
    </w:p>
    <w:p>
      <w:pPr>
        <w:pStyle w:val="ListParagraph"/>
        <w:numPr>
          <w:ilvl w:val="0"/>
          <w:numId w:val="1"/>
        </w:numPr>
        <w:spacing w:after="60"/>
      </w:pPr>
      <w:r>
        <w:rPr>
          <w:rFonts w:ascii="Arial" w:cs="Arial" w:eastAsia="Arial" w:hAnsi="Arial"/>
          <w:sz w:val="22"/>
          <w:szCs w:val="22"/>
        </w:rPr>
        <w:t xml:space="preserve">Effectiveness of destruction methods based on industry best practices and technological changes.</w:t>
      </w:r>
    </w:p>
    <w:p>
      <w:pPr>
        <w:pStyle w:val="ListParagraph"/>
        <w:numPr>
          <w:ilvl w:val="0"/>
          <w:numId w:val="1"/>
        </w:numPr>
        <w:spacing w:after="60"/>
      </w:pPr>
      <w:r>
        <w:rPr>
          <w:rFonts w:ascii="Arial" w:cs="Arial" w:eastAsia="Arial" w:hAnsi="Arial"/>
          <w:sz w:val="22"/>
          <w:szCs w:val="22"/>
        </w:rPr>
        <w:t xml:space="preserve">Adequacy of legal hold procedures based on litigation experience.</w:t>
      </w:r>
    </w:p>
    <w:p>
      <w:pPr>
        <w:pStyle w:val="ListParagraph"/>
        <w:numPr>
          <w:ilvl w:val="0"/>
          <w:numId w:val="1"/>
        </w:numPr>
        <w:spacing w:after="60"/>
      </w:pPr>
      <w:r>
        <w:rPr>
          <w:rFonts w:ascii="Arial" w:cs="Arial" w:eastAsia="Arial" w:hAnsi="Arial"/>
          <w:sz w:val="22"/>
          <w:szCs w:val="22"/>
        </w:rPr>
        <w:t xml:space="preserve">Consistency with related policies, including the Privacy Impact Assessment and Incident Response Plan.</w:t>
      </w:r>
    </w:p>
    <w:p>
      <w:pPr>
        <w:pStyle w:val="Heading2"/>
        <w:spacing w:after="120" w:before="300"/>
      </w:pPr>
      <w:r>
        <w:rPr>
          <w:rFonts w:ascii="Arial" w:cs="Arial" w:eastAsia="Arial" w:hAnsi="Arial"/>
          <w:b/>
          <w:bCs/>
          <w:color w:val="1B3A5C"/>
          <w:sz w:val="26"/>
          <w:szCs w:val="26"/>
        </w:rPr>
        <w:t xml:space="preserve">7.3 Non-Compliance Reporting</w:t>
      </w:r>
    </w:p>
    <w:p>
      <w:pPr>
        <w:spacing w:after="120"/>
        <w:jc w:val="both"/>
      </w:pPr>
      <w:r>
        <w:rPr>
          <w:rFonts w:ascii="Arial" w:cs="Arial" w:eastAsia="Arial" w:hAnsi="Arial"/>
          <w:b w:val="false"/>
          <w:bCs w:val="false"/>
          <w:i w:val="false"/>
          <w:iCs w:val="false"/>
          <w:sz w:val="22"/>
          <w:szCs w:val="22"/>
        </w:rPr>
        <w:t xml:space="preserve">Any deviation from this policy, including unauthorized data destruction, failure to execute scheduled destruction, or retention of data beyond the specified period without documented justification, must be reported to the Compliance Officer within 24 hours. Non-compliance incidents are investigated and addressed per the Incident Response Plan.</w:t>
      </w:r>
    </w:p>
    <w:p>
      <w:pPr>
        <w:pStyle w:val="Heading2"/>
        <w:spacing w:after="120" w:before="300"/>
      </w:pPr>
      <w:r>
        <w:rPr>
          <w:rFonts w:ascii="Arial" w:cs="Arial" w:eastAsia="Arial" w:hAnsi="Arial"/>
          <w:b/>
          <w:bCs/>
          <w:color w:val="1B3A5C"/>
          <w:sz w:val="26"/>
          <w:szCs w:val="26"/>
        </w:rPr>
        <w:t xml:space="preserve">7.4 Metrics and Reporting</w:t>
      </w:r>
    </w:p>
    <w:p>
      <w:pPr>
        <w:spacing w:after="120"/>
        <w:jc w:val="both"/>
      </w:pPr>
      <w:r>
        <w:rPr>
          <w:rFonts w:ascii="Arial" w:cs="Arial" w:eastAsia="Arial" w:hAnsi="Arial"/>
          <w:b w:val="false"/>
          <w:bCs w:val="false"/>
          <w:i w:val="false"/>
          <w:iCs w:val="false"/>
          <w:sz w:val="22"/>
          <w:szCs w:val="22"/>
        </w:rPr>
        <w:t xml:space="preserve">The following metrics are tracked and reported to leadership quarterly:</w:t>
      </w:r>
    </w:p>
    <w:p>
      <w:pPr>
        <w:pStyle w:val="ListParagraph"/>
        <w:numPr>
          <w:ilvl w:val="0"/>
          <w:numId w:val="1"/>
        </w:numPr>
        <w:spacing w:after="60"/>
      </w:pPr>
      <w:r>
        <w:rPr>
          <w:rFonts w:ascii="Arial" w:cs="Arial" w:eastAsia="Arial" w:hAnsi="Arial"/>
          <w:sz w:val="22"/>
          <w:szCs w:val="22"/>
        </w:rPr>
        <w:t xml:space="preserve">Volume of data by category and retention status (active, soft-deleted, pending destruction, destroyed).</w:t>
      </w:r>
    </w:p>
    <w:p>
      <w:pPr>
        <w:pStyle w:val="ListParagraph"/>
        <w:numPr>
          <w:ilvl w:val="0"/>
          <w:numId w:val="1"/>
        </w:numPr>
        <w:spacing w:after="60"/>
      </w:pPr>
      <w:r>
        <w:rPr>
          <w:rFonts w:ascii="Arial" w:cs="Arial" w:eastAsia="Arial" w:hAnsi="Arial"/>
          <w:sz w:val="22"/>
          <w:szCs w:val="22"/>
        </w:rPr>
        <w:t xml:space="preserve">Number of records processed through the destruction pipeline.</w:t>
      </w:r>
    </w:p>
    <w:p>
      <w:pPr>
        <w:pStyle w:val="ListParagraph"/>
        <w:numPr>
          <w:ilvl w:val="0"/>
          <w:numId w:val="1"/>
        </w:numPr>
        <w:spacing w:after="60"/>
      </w:pPr>
      <w:r>
        <w:rPr>
          <w:rFonts w:ascii="Arial" w:cs="Arial" w:eastAsia="Arial" w:hAnsi="Arial"/>
          <w:sz w:val="22"/>
          <w:szCs w:val="22"/>
        </w:rPr>
        <w:t xml:space="preserve">Number and duration of active legal holds.</w:t>
      </w:r>
    </w:p>
    <w:p>
      <w:pPr>
        <w:pStyle w:val="ListParagraph"/>
        <w:numPr>
          <w:ilvl w:val="0"/>
          <w:numId w:val="1"/>
        </w:numPr>
        <w:spacing w:after="60"/>
      </w:pPr>
      <w:r>
        <w:rPr>
          <w:rFonts w:ascii="Arial" w:cs="Arial" w:eastAsia="Arial" w:hAnsi="Arial"/>
          <w:sz w:val="22"/>
          <w:szCs w:val="22"/>
        </w:rPr>
        <w:t xml:space="preserve">Audit findings and remediation status.</w:t>
      </w:r>
    </w:p>
    <w:p>
      <w:pPr>
        <w:pStyle w:val="ListParagraph"/>
        <w:numPr>
          <w:ilvl w:val="0"/>
          <w:numId w:val="1"/>
        </w:numPr>
        <w:spacing w:after="60"/>
      </w:pPr>
      <w:r>
        <w:rPr>
          <w:rFonts w:ascii="Arial" w:cs="Arial" w:eastAsia="Arial" w:hAnsi="Arial"/>
          <w:sz w:val="22"/>
          <w:szCs w:val="22"/>
        </w:rPr>
        <w:t xml:space="preserve">Policy exception requests and approvals.</w:t>
      </w:r>
    </w:p>
    <w:p>
      <w:pPr>
        <w:pStyle w:val="Heading1"/>
        <w:spacing w:after="120" w:before="300"/>
      </w:pPr>
      <w:r>
        <w:rPr>
          <w:rFonts w:ascii="Arial" w:cs="Arial" w:eastAsia="Arial" w:hAnsi="Arial"/>
          <w:b/>
          <w:bCs/>
          <w:color w:val="1B3A5C"/>
          <w:sz w:val="32"/>
          <w:szCs w:val="32"/>
        </w:rPr>
        <w:t xml:space="preserve">8. Approval</w:t>
      </w:r>
    </w:p>
    <w:p>
      <w:pPr>
        <w:spacing w:after="120"/>
        <w:jc w:val="both"/>
      </w:pPr>
      <w:r>
        <w:rPr>
          <w:rFonts w:ascii="Arial" w:cs="Arial" w:eastAsia="Arial" w:hAnsi="Arial"/>
          <w:b w:val="false"/>
          <w:bCs w:val="false"/>
          <w:i w:val="false"/>
          <w:iCs w:val="false"/>
          <w:sz w:val="22"/>
          <w:szCs w:val="22"/>
        </w:rPr>
        <w:t xml:space="preserve">This Data Retention and Destruction Policy has been reviewed and approved by the following individuals:</w:t>
      </w:r>
    </w:p>
    <w:p>
      <w:pPr>
        <w:spacing w:before="400"/>
      </w:pPr>
    </w:p>
    <w:p>
      <w:r>
        <w:rPr>
          <w:rFonts w:ascii="Arial" w:cs="Arial" w:eastAsia="Arial" w:hAnsi="Arial"/>
          <w:sz w:val="22"/>
          <w:szCs w:val="22"/>
        </w:rPr>
        <w:t xml:space="preserve">________________________________________</w:t>
      </w:r>
    </w:p>
    <w:p>
      <w:r>
        <w:rPr>
          <w:rFonts w:ascii="Arial" w:cs="Arial" w:eastAsia="Arial" w:hAnsi="Arial"/>
          <w:b/>
          <w:bCs/>
          <w:sz w:val="22"/>
          <w:szCs w:val="22"/>
        </w:rPr>
        <w:t xml:space="preserve">Compliance Officer: ____________________</w:t>
      </w:r>
    </w:p>
    <w:p>
      <w:pPr>
        <w:spacing w:after="80"/>
      </w:pPr>
      <w:r>
        <w:rPr>
          <w:rFonts w:ascii="Arial" w:cs="Arial" w:eastAsia="Arial" w:hAnsi="Arial"/>
          <w:sz w:val="22"/>
          <w:szCs w:val="22"/>
        </w:rPr>
        <w:t xml:space="preserve">Date: ____________________</w:t>
      </w:r>
    </w:p>
    <w:p>
      <w:pPr>
        <w:spacing w:before="400"/>
      </w:pPr>
    </w:p>
    <w:p>
      <w:r>
        <w:rPr>
          <w:rFonts w:ascii="Arial" w:cs="Arial" w:eastAsia="Arial" w:hAnsi="Arial"/>
          <w:sz w:val="22"/>
          <w:szCs w:val="22"/>
        </w:rPr>
        <w:t xml:space="preserve">________________________________________</w:t>
      </w:r>
    </w:p>
    <w:p>
      <w:r>
        <w:rPr>
          <w:rFonts w:ascii="Arial" w:cs="Arial" w:eastAsia="Arial" w:hAnsi="Arial"/>
          <w:b/>
          <w:bCs/>
          <w:sz w:val="22"/>
          <w:szCs w:val="22"/>
        </w:rPr>
        <w:t xml:space="preserve">Chief Information Security Officer: ____________________</w:t>
      </w:r>
    </w:p>
    <w:p>
      <w:pPr>
        <w:spacing w:after="80"/>
      </w:pPr>
      <w:r>
        <w:rPr>
          <w:rFonts w:ascii="Arial" w:cs="Arial" w:eastAsia="Arial" w:hAnsi="Arial"/>
          <w:sz w:val="22"/>
          <w:szCs w:val="22"/>
        </w:rPr>
        <w:t xml:space="preserve">Date: ____________________</w:t>
      </w:r>
    </w:p>
    <w:p>
      <w:pPr>
        <w:spacing w:before="400"/>
      </w:pPr>
    </w:p>
    <w:p>
      <w:r>
        <w:rPr>
          <w:rFonts w:ascii="Arial" w:cs="Arial" w:eastAsia="Arial" w:hAnsi="Arial"/>
          <w:sz w:val="22"/>
          <w:szCs w:val="22"/>
        </w:rPr>
        <w:t xml:space="preserve">________________________________________</w:t>
      </w:r>
    </w:p>
    <w:p>
      <w:r>
        <w:rPr>
          <w:rFonts w:ascii="Arial" w:cs="Arial" w:eastAsia="Arial" w:hAnsi="Arial"/>
          <w:b/>
          <w:bCs/>
          <w:sz w:val="22"/>
          <w:szCs w:val="22"/>
        </w:rPr>
        <w:t xml:space="preserve">Legal Counsel: ____________________</w:t>
      </w:r>
    </w:p>
    <w:p>
      <w:pPr>
        <w:spacing w:after="80"/>
      </w:pPr>
      <w:r>
        <w:rPr>
          <w:rFonts w:ascii="Arial" w:cs="Arial" w:eastAsia="Arial" w:hAnsi="Arial"/>
          <w:sz w:val="22"/>
          <w:szCs w:val="22"/>
        </w:rPr>
        <w:t xml:space="preserve">Date: ____________________</w:t>
      </w:r>
    </w:p>
    <w:p>
      <w:pPr>
        <w:spacing w:before="400"/>
      </w:pPr>
    </w:p>
    <w:p>
      <w:r>
        <w:rPr>
          <w:rFonts w:ascii="Arial" w:cs="Arial" w:eastAsia="Arial" w:hAnsi="Arial"/>
          <w:sz w:val="22"/>
          <w:szCs w:val="22"/>
        </w:rPr>
        <w:t xml:space="preserve">________________________________________</w:t>
      </w:r>
    </w:p>
    <w:p>
      <w:r>
        <w:rPr>
          <w:rFonts w:ascii="Arial" w:cs="Arial" w:eastAsia="Arial" w:hAnsi="Arial"/>
          <w:b/>
          <w:bCs/>
          <w:sz w:val="22"/>
          <w:szCs w:val="22"/>
        </w:rPr>
        <w:t xml:space="preserve">Chief Executive Officer: ____________________</w:t>
      </w:r>
    </w:p>
    <w:p>
      <w:pPr>
        <w:spacing w:after="80"/>
      </w:pPr>
      <w:r>
        <w:rPr>
          <w:rFonts w:ascii="Arial" w:cs="Arial" w:eastAsia="Arial" w:hAnsi="Arial"/>
          <w:sz w:val="22"/>
          <w:szCs w:val="22"/>
        </w:rPr>
        <w:t xml:space="preserve">Date: ____________________</w:t>
      </w:r>
    </w:p>
    <w:sectPr>
      <w:headerReference w:type="default" r:id="rId7"/>
      <w:footerReference w:type="default" r:id="rId8"/>
      <w:pgSz w:w="12240" w:h="15840" w:orient="portrait"/>
      <w:pgMar w:top="1440" w:right="1800" w:bottom="1440" w:left="180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16"/>
        <w:szCs w:val="16"/>
      </w:rPr>
      <w:t xml:space="preserve">BrokerLink Data Retention &amp; Destruction Policy  |  Page </w:t>
    </w:r>
    <w:r>
      <w:rPr>
        <w:rFonts w:ascii="Arial" w:cs="Arial" w:eastAsia="Arial" w:hAnsi="Arial"/>
        <w:sz w:val="16"/>
        <w:szCs w:val="16"/>
      </w:rPr>
      <w:fldChar w:fldCharType="begin"/>
      <w:instrText xml:space="preserve">PAGE</w:instrText>
      <w:fldChar w:fldCharType="separate"/>
      <w:fldChar w:fldCharType="end"/>
    </w:r>
    <w:r>
      <w:rPr>
        <w:rFonts w:ascii="Arial" w:cs="Arial" w:eastAsia="Arial" w:hAnsi="Arial"/>
        <w:sz w:val="16"/>
        <w:szCs w:val="16"/>
      </w:rPr>
      <w:t xml:space="preserve"> of </w:t>
    </w:r>
    <w:r>
      <w:rPr>
        <w:rFonts w:ascii="Arial" w:cs="Arial" w:eastAsia="Arial" w:hAnsi="Arial"/>
        <w:sz w:val="16"/>
        <w:szCs w:val="16"/>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w16cid="http://schemas.microsoft.com/office/word/2016/wordml/cid" xmlns:w16se="http://schemas.microsoft.com/office/word/2015/wordml/symex">
  <w:p>
    <w:pPr>
      <w:jc w:val="right"/>
    </w:pPr>
    <w:r>
      <w:rPr>
        <w:rFonts w:ascii="Arial" w:cs="Arial" w:eastAsia="Arial" w:hAnsi="Arial"/>
        <w:b/>
        <w:bCs/>
        <w:i/>
        <w:iCs/>
        <w:color w:val="CC0000"/>
        <w:sz w:val="18"/>
        <w:szCs w:val="18"/>
      </w:rPr>
      <w:t xml:space="preserve">CONFIDENTIAL</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header" Target="header1.xml"/><Relationship Id="rId8" Type="http://schemas.openxmlformats.org/officeDocument/2006/relationships/footer" Target="footer1.xml"/><Relationship Id="rId9" Type="http://schemas.openxmlformats.org/officeDocument/2006/relationships/fontTable" Target="fontTable.xml"/></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2026-03-23T22:22:48.845Z</dcterms:created>
  <dcterms:modified xsi:type="dcterms:W3CDTF">2026-03-23T22:22:48.845Z</dcterms:modified>
</cp:coreProperties>
</file>

<file path=docProps/custom.xml><?xml version="1.0" encoding="utf-8"?>
<Properties xmlns="http://schemas.openxmlformats.org/officeDocument/2006/custom-properties" xmlns:vt="http://schemas.openxmlformats.org/officeDocument/2006/docPropsVTypes"/>
</file>