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pPr>
    </w:p>
    <w:p>
      <w:pPr>
        <w:jc w:val="center"/>
      </w:pPr>
      <w:r>
        <w:rPr>
          <w:rFonts w:ascii="Arial" w:cs="Arial" w:eastAsia="Arial" w:hAnsi="Arial"/>
          <w:b/>
          <w:bCs/>
          <w:color w:val="1B3A5C"/>
          <w:sz w:val="48"/>
          <w:szCs w:val="48"/>
        </w:rPr>
        <w:t xml:space="preserve">INCIDENT RESPONSE PLAN</w:t>
      </w:r>
    </w:p>
    <w:p>
      <w:pPr>
        <w:spacing w:before="200"/>
        <w:jc w:val="center"/>
      </w:pPr>
      <w:r>
        <w:rPr>
          <w:rFonts w:ascii="Arial" w:cs="Arial" w:eastAsia="Arial" w:hAnsi="Arial"/>
          <w:color w:val="1B3A5C"/>
          <w:sz w:val="36"/>
          <w:szCs w:val="36"/>
        </w:rPr>
        <w:t>HPS AgentLink Broker Portal</w:t>
      </w:r>
    </w:p>
    <w:p>
      <w:pPr>
        <w:spacing w:before="400"/>
        <w:jc w:val="center"/>
      </w:pPr>
      <w:r>
        <w:rPr>
          <w:rFonts w:ascii="Arial" w:cs="Arial" w:eastAsia="Arial" w:hAnsi="Arial"/>
          <w:i/>
          <w:iCs/>
          <w:sz w:val="28"/>
          <w:szCs w:val="28"/>
        </w:rPr>
        <w:t xml:space="preserve">Enhanced Direct Enrollment (EDE) Platform</w:t>
      </w:r>
    </w:p>
    <w:p>
      <w:pPr>
        <w:spacing w:before="600"/>
        <w:jc w:val="center"/>
      </w:pPr>
      <w:r>
        <w:rPr>
          <w:rFonts w:ascii="Arial" w:cs="Arial" w:eastAsia="Arial" w:hAnsi="Arial"/>
          <w:sz w:val="24"/>
          <w:szCs w:val="24"/>
        </w:rPr>
        <w:t xml:space="preserve">Version 1.0  |  March 2026</w:t>
      </w:r>
    </w:p>
    <w:p>
      <w:pPr>
        <w:spacing w:before="200"/>
        <w:jc w:val="center"/>
      </w:pPr>
      <w:r>
        <w:rPr>
          <w:rFonts w:ascii="Arial" w:cs="Arial" w:eastAsia="Arial" w:hAnsi="Arial"/>
          <w:b/>
          <w:bCs/>
          <w:color w:val="CC0000"/>
          <w:sz w:val="22"/>
          <w:szCs w:val="22"/>
        </w:rPr>
        <w:t xml:space="preserve">Classification: CONFIDENTIAL</w:t>
      </w:r>
    </w:p>
    <w:p>
      <w:pPr>
        <w:spacing w:before="80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rPr>
          <w:tblHeader/>
        </w:trPr>
        <w:tc>
          <w:tcPr>
            <w:tcW w:type="pct" w:w="50%"/>
            <w:shd w:color="1B3A5C" w:val="solid"/>
          </w:tcPr>
          <w:p>
            <w:r>
              <w:rPr>
                <w:rFonts w:ascii="Arial" w:cs="Arial" w:eastAsia="Arial" w:hAnsi="Arial"/>
                <w:b/>
                <w:bCs/>
                <w:color w:val="FFFFFF"/>
                <w:sz w:val="20"/>
                <w:szCs w:val="20"/>
              </w:rPr>
              <w:t xml:space="preserve">Field</w:t>
            </w:r>
          </w:p>
        </w:tc>
        <w:tc>
          <w:tcPr>
            <w:tcW w:type="pct" w:w="50%"/>
            <w:shd w:color="1B3A5C" w:val="solid"/>
          </w:tcPr>
          <w:p>
            <w:r>
              <w:rPr>
                <w:rFonts w:ascii="Arial" w:cs="Arial" w:eastAsia="Arial" w:hAnsi="Arial"/>
                <w:b/>
                <w:bCs/>
                <w:color w:val="FFFFFF"/>
                <w:sz w:val="20"/>
                <w:szCs w:val="20"/>
              </w:rPr>
              <w:t xml:space="preserve">Value</w:t>
            </w:r>
          </w:p>
        </w:tc>
      </w:tr>
      <w:tr>
        <w:tc>
          <w:p>
            <w:r>
              <w:rPr>
                <w:rFonts w:ascii="Arial" w:cs="Arial" w:eastAsia="Arial" w:hAnsi="Arial"/>
                <w:sz w:val="20"/>
                <w:szCs w:val="20"/>
              </w:rPr>
              <w:t xml:space="preserve">Document Owner</w:t>
            </w:r>
          </w:p>
        </w:tc>
        <w:tc>
          <w:p>
            <w:r>
              <w:rPr>
                <w:rFonts w:ascii="Arial" w:cs="Arial" w:eastAsia="Arial" w:hAnsi="Arial"/>
                <w:sz w:val="20"/>
                <w:szCs w:val="20"/>
              </w:rPr>
              <w:t xml:space="preserve">Chief Information Security Officer (CISO)</w:t>
            </w:r>
          </w:p>
        </w:tc>
      </w:tr>
      <w:tr>
        <w:tc>
          <w:p>
            <w:r>
              <w:rPr>
                <w:rFonts w:ascii="Arial" w:cs="Arial" w:eastAsia="Arial" w:hAnsi="Arial"/>
                <w:sz w:val="20"/>
                <w:szCs w:val="20"/>
              </w:rPr>
              <w:t xml:space="preserve">Version</w:t>
            </w:r>
          </w:p>
        </w:tc>
        <w:tc>
          <w:p>
            <w:r>
              <w:rPr>
                <w:rFonts w:ascii="Arial" w:cs="Arial" w:eastAsia="Arial" w:hAnsi="Arial"/>
                <w:sz w:val="20"/>
                <w:szCs w:val="20"/>
              </w:rPr>
              <w:t xml:space="preserve">1.0</w:t>
            </w:r>
          </w:p>
        </w:tc>
      </w:tr>
      <w:tr>
        <w:tc>
          <w:p>
            <w:r>
              <w:rPr>
                <w:rFonts w:ascii="Arial" w:cs="Arial" w:eastAsia="Arial" w:hAnsi="Arial"/>
                <w:sz w:val="20"/>
                <w:szCs w:val="20"/>
              </w:rPr>
              <w:t xml:space="preserve">Date</w:t>
            </w:r>
          </w:p>
        </w:tc>
        <w:tc>
          <w:p>
            <w:r>
              <w:rPr>
                <w:rFonts w:ascii="Arial" w:cs="Arial" w:eastAsia="Arial" w:hAnsi="Arial"/>
                <w:sz w:val="20"/>
                <w:szCs w:val="20"/>
              </w:rPr>
              <w:t xml:space="preserve">March 23, 2026</w:t>
            </w:r>
          </w:p>
        </w:tc>
      </w:tr>
      <w:tr>
        <w:tc>
          <w:p>
            <w:r>
              <w:rPr>
                <w:rFonts w:ascii="Arial" w:cs="Arial" w:eastAsia="Arial" w:hAnsi="Arial"/>
                <w:sz w:val="20"/>
                <w:szCs w:val="20"/>
              </w:rPr>
              <w:t xml:space="preserve">Review Cycle</w:t>
            </w:r>
          </w:p>
        </w:tc>
        <w:tc>
          <w:p>
            <w:r>
              <w:rPr>
                <w:rFonts w:ascii="Arial" w:cs="Arial" w:eastAsia="Arial" w:hAnsi="Arial"/>
                <w:sz w:val="20"/>
                <w:szCs w:val="20"/>
              </w:rPr>
              <w:t xml:space="preserve">Annual, with quarterly procedure review</w:t>
            </w:r>
          </w:p>
        </w:tc>
      </w:tr>
      <w:tr>
        <w:tc>
          <w:p>
            <w:r>
              <w:rPr>
                <w:rFonts w:ascii="Arial" w:cs="Arial" w:eastAsia="Arial" w:hAnsi="Arial"/>
                <w:sz w:val="20"/>
                <w:szCs w:val="20"/>
              </w:rPr>
              <w:t xml:space="preserve">Classification</w:t>
            </w:r>
          </w:p>
        </w:tc>
        <w:tc>
          <w:p>
            <w:r>
              <w:rPr>
                <w:rFonts w:ascii="Arial" w:cs="Arial" w:eastAsia="Arial" w:hAnsi="Arial"/>
                <w:sz w:val="20"/>
                <w:szCs w:val="20"/>
              </w:rPr>
              <w:t xml:space="preserve">Confidential</w:t>
            </w:r>
          </w:p>
        </w:tc>
      </w:tr>
      <w:tr>
        <w:tc>
          <w:p>
            <w:r>
              <w:rPr>
                <w:rFonts w:ascii="Arial" w:cs="Arial" w:eastAsia="Arial" w:hAnsi="Arial"/>
                <w:sz w:val="20"/>
                <w:szCs w:val="20"/>
              </w:rPr>
              <w:t xml:space="preserve">Applicable Regulations</w:t>
            </w:r>
          </w:p>
        </w:tc>
        <w:tc>
          <w:p>
            <w:r>
              <w:rPr>
                <w:rFonts w:ascii="Arial" w:cs="Arial" w:eastAsia="Arial" w:hAnsi="Arial"/>
                <w:sz w:val="20"/>
                <w:szCs w:val="20"/>
              </w:rPr>
              <w:t xml:space="preserve">HIPAA, 45 CFR 164.308(a)(6), CMS EDE Requirements, IRS Pub 1075</w:t>
            </w:r>
          </w:p>
        </w:tc>
      </w:tr>
    </w:tbl>
    <w:p>
      <w:r>
        <w:br w:type="page"/>
      </w:r>
    </w:p>
    <w:p>
      <w:pPr>
        <w:pStyle w:val="Heading1"/>
        <w:spacing w:after="120" w:before="300"/>
      </w:pPr>
      <w:r>
        <w:rPr>
          <w:rFonts w:ascii="Arial" w:cs="Arial" w:eastAsia="Arial" w:hAnsi="Arial"/>
          <w:b/>
          <w:bCs/>
          <w:color w:val="1B3A5C"/>
          <w:sz w:val="32"/>
          <w:szCs w:val="32"/>
        </w:rPr>
        <w:t xml:space="preserve">1. Purpose and Scope</w:t>
      </w:r>
    </w:p>
    <w:p>
      <w:pPr>
        <w:spacing w:after="120"/>
        <w:jc w:val="both"/>
      </w:pPr>
      <w:r>
        <w:rPr>
          <w:rFonts w:ascii="Arial" w:cs="Arial" w:eastAsia="Arial" w:hAnsi="Arial"/>
          <w:b w:val="false"/>
          <w:bCs w:val="false"/>
          <w:i w:val="false"/>
          <w:iCs w:val="false"/>
          <w:sz w:val="22"/>
          <w:szCs w:val="22"/>
        </w:rPr>
        <w:t>This Incident Response Plan (IRP) establishes a structured and systematic approach for identifying, responding to, managing, and recovering from information security incidents affecting HPS AgentLink systems. The plan ensures that incidents are handled in a manner that minimizes damage, reduces recovery time and costs, and preserves evidence for potential legal or regulatory proceedings.</w:t>
      </w:r>
    </w:p>
    <w:p>
      <w:pPr>
        <w:pStyle w:val="Heading2"/>
        <w:spacing w:after="120" w:before="300"/>
      </w:pPr>
      <w:r>
        <w:rPr>
          <w:rFonts w:ascii="Arial" w:cs="Arial" w:eastAsia="Arial" w:hAnsi="Arial"/>
          <w:b/>
          <w:bCs/>
          <w:color w:val="1B3A5C"/>
          <w:sz w:val="26"/>
          <w:szCs w:val="26"/>
        </w:rPr>
        <w:t xml:space="preserve">1.1 Scope</w:t>
      </w:r>
    </w:p>
    <w:p>
      <w:pPr>
        <w:spacing w:after="120"/>
        <w:jc w:val="both"/>
      </w:pPr>
      <w:r>
        <w:rPr>
          <w:rFonts w:ascii="Arial" w:cs="Arial" w:eastAsia="Arial" w:hAnsi="Arial"/>
          <w:b w:val="false"/>
          <w:bCs w:val="false"/>
          <w:i w:val="false"/>
          <w:iCs w:val="false"/>
          <w:sz w:val="22"/>
          <w:szCs w:val="22"/>
        </w:rPr>
        <w:t>This plan applies to all information systems, networks, and data processing environments that support the HPS AgentLink Broker Portal and its associated services, including:</w:t>
      </w:r>
    </w:p>
    <w:p>
      <w:pPr>
        <w:pStyle w:val="ListParagraph"/>
        <w:numPr>
          <w:ilvl w:val="0"/>
          <w:numId w:val="1"/>
        </w:numPr>
        <w:spacing w:after="60"/>
      </w:pPr>
      <w:r>
        <w:rPr>
          <w:rFonts w:ascii="Arial" w:cs="Arial" w:eastAsia="Arial" w:hAnsi="Arial"/>
          <w:sz w:val="22"/>
          <w:szCs w:val="22"/>
        </w:rPr>
        <w:t>The HPS AgentLink Broker Portal web application and all supporting infrastructure</w:t>
      </w:r>
    </w:p>
    <w:p>
      <w:pPr>
        <w:pStyle w:val="ListParagraph"/>
        <w:numPr>
          <w:ilvl w:val="0"/>
          <w:numId w:val="1"/>
        </w:numPr>
        <w:spacing w:after="60"/>
      </w:pPr>
      <w:r>
        <w:rPr>
          <w:rFonts w:ascii="Arial" w:cs="Arial" w:eastAsia="Arial" w:hAnsi="Arial"/>
          <w:sz w:val="22"/>
          <w:szCs w:val="22"/>
        </w:rPr>
        <w:t xml:space="preserve">All databases containing consumer PII, PHI, and FTI</w:t>
      </w:r>
    </w:p>
    <w:p>
      <w:pPr>
        <w:pStyle w:val="ListParagraph"/>
        <w:numPr>
          <w:ilvl w:val="0"/>
          <w:numId w:val="1"/>
        </w:numPr>
        <w:spacing w:after="60"/>
      </w:pPr>
      <w:r>
        <w:rPr>
          <w:rFonts w:ascii="Arial" w:cs="Arial" w:eastAsia="Arial" w:hAnsi="Arial"/>
          <w:sz w:val="22"/>
          <w:szCs w:val="22"/>
        </w:rPr>
        <w:t xml:space="preserve">CMS EDE API integration endpoints and communication channels</w:t>
      </w:r>
    </w:p>
    <w:p>
      <w:pPr>
        <w:pStyle w:val="ListParagraph"/>
        <w:numPr>
          <w:ilvl w:val="0"/>
          <w:numId w:val="1"/>
        </w:numPr>
        <w:spacing w:after="60"/>
      </w:pPr>
      <w:r>
        <w:rPr>
          <w:rFonts w:ascii="Arial" w:cs="Arial" w:eastAsia="Arial" w:hAnsi="Arial"/>
          <w:sz w:val="22"/>
          <w:szCs w:val="22"/>
        </w:rPr>
        <w:t xml:space="preserve">EDI 834 transaction processing systems and carrier communication channels</w:t>
      </w:r>
    </w:p>
    <w:p>
      <w:pPr>
        <w:pStyle w:val="ListParagraph"/>
        <w:numPr>
          <w:ilvl w:val="0"/>
          <w:numId w:val="1"/>
        </w:numPr>
        <w:spacing w:after="60"/>
      </w:pPr>
      <w:r>
        <w:rPr>
          <w:rFonts w:ascii="Arial" w:cs="Arial" w:eastAsia="Arial" w:hAnsi="Arial"/>
          <w:sz w:val="22"/>
          <w:szCs w:val="22"/>
        </w:rPr>
        <w:t xml:space="preserve">Agent/broker authentication and session management systems</w:t>
      </w:r>
    </w:p>
    <w:p>
      <w:pPr>
        <w:pStyle w:val="ListParagraph"/>
        <w:numPr>
          <w:ilvl w:val="0"/>
          <w:numId w:val="1"/>
        </w:numPr>
        <w:spacing w:after="60"/>
      </w:pPr>
      <w:r>
        <w:rPr>
          <w:rFonts w:ascii="Arial" w:cs="Arial" w:eastAsia="Arial" w:hAnsi="Arial"/>
          <w:sz w:val="22"/>
          <w:szCs w:val="22"/>
        </w:rPr>
        <w:t xml:space="preserve">Administrative and monitoring systems</w:t>
      </w:r>
    </w:p>
    <w:p>
      <w:pPr>
        <w:pStyle w:val="ListParagraph"/>
        <w:numPr>
          <w:ilvl w:val="0"/>
          <w:numId w:val="1"/>
        </w:numPr>
        <w:spacing w:after="60"/>
      </w:pPr>
      <w:r>
        <w:rPr>
          <w:rFonts w:ascii="Arial" w:cs="Arial" w:eastAsia="Arial" w:hAnsi="Arial"/>
          <w:sz w:val="22"/>
          <w:szCs w:val="22"/>
        </w:rPr>
        <w:t xml:space="preserve">Backup and disaster recovery systems</w:t>
      </w:r>
    </w:p>
    <w:p>
      <w:pPr>
        <w:pStyle w:val="ListParagraph"/>
        <w:numPr>
          <w:ilvl w:val="0"/>
          <w:numId w:val="1"/>
        </w:numPr>
        <w:spacing w:after="60"/>
      </w:pPr>
      <w:r>
        <w:rPr>
          <w:rFonts w:ascii="Arial" w:cs="Arial" w:eastAsia="Arial" w:hAnsi="Arial"/>
          <w:sz w:val="22"/>
          <w:szCs w:val="22"/>
        </w:rPr>
        <w:t xml:space="preserve">All on-premises equipment at the Tampa, FL data center</w:t>
      </w:r>
    </w:p>
    <w:p>
      <w:pPr>
        <w:pStyle w:val="Heading2"/>
        <w:spacing w:after="120" w:before="300"/>
      </w:pPr>
      <w:r>
        <w:rPr>
          <w:rFonts w:ascii="Arial" w:cs="Arial" w:eastAsia="Arial" w:hAnsi="Arial"/>
          <w:b/>
          <w:bCs/>
          <w:color w:val="1B3A5C"/>
          <w:sz w:val="26"/>
          <w:szCs w:val="26"/>
        </w:rPr>
        <w:t xml:space="preserve">1.2 Applicability</w:t>
      </w:r>
    </w:p>
    <w:p>
      <w:pPr>
        <w:spacing w:after="120"/>
        <w:jc w:val="both"/>
      </w:pPr>
      <w:r>
        <w:rPr>
          <w:rFonts w:ascii="Arial" w:cs="Arial" w:eastAsia="Arial" w:hAnsi="Arial"/>
          <w:b w:val="false"/>
          <w:bCs w:val="false"/>
          <w:i w:val="false"/>
          <w:iCs w:val="false"/>
          <w:sz w:val="22"/>
          <w:szCs w:val="22"/>
        </w:rPr>
        <w:t>This plan is applicable to all HPS AgentLink employees, contractors, and third-party service providers who access, manage, or support HPS AgentLink information systems. All personnel must be familiar with their roles and responsibilities as defined in this plan.</w:t>
      </w:r>
    </w:p>
    <w:p>
      <w:pPr>
        <w:pStyle w:val="Heading1"/>
        <w:spacing w:after="120" w:before="300"/>
      </w:pPr>
      <w:r>
        <w:rPr>
          <w:rFonts w:ascii="Arial" w:cs="Arial" w:eastAsia="Arial" w:hAnsi="Arial"/>
          <w:b/>
          <w:bCs/>
          <w:color w:val="1B3A5C"/>
          <w:sz w:val="32"/>
          <w:szCs w:val="32"/>
        </w:rPr>
        <w:t xml:space="preserve">2. Incident Categories</w:t>
      </w:r>
    </w:p>
    <w:p>
      <w:pPr>
        <w:spacing w:after="120"/>
        <w:jc w:val="both"/>
      </w:pPr>
      <w:r>
        <w:rPr>
          <w:rFonts w:ascii="Arial" w:cs="Arial" w:eastAsia="Arial" w:hAnsi="Arial"/>
          <w:b w:val="false"/>
          <w:bCs w:val="false"/>
          <w:i w:val="false"/>
          <w:iCs w:val="false"/>
          <w:sz w:val="22"/>
          <w:szCs w:val="22"/>
        </w:rPr>
        <w:t xml:space="preserve">Security incidents are classified into four priority levels based on their severity, impact on operations, and the type of data potentially affected:</w:t>
      </w:r>
    </w:p>
    <w:p>
      <w:pPr>
        <w:spacing w:before="1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rPr>
          <w:tblHeader/>
        </w:trPr>
        <w:tc>
          <w:tcPr>
            <w:tcW w:type="pct" w:w="20%"/>
            <w:shd w:color="1B3A5C" w:val="solid"/>
          </w:tcPr>
          <w:p>
            <w:r>
              <w:rPr>
                <w:rFonts w:ascii="Arial" w:cs="Arial" w:eastAsia="Arial" w:hAnsi="Arial"/>
                <w:b/>
                <w:bCs/>
                <w:color w:val="FFFFFF"/>
                <w:sz w:val="20"/>
                <w:szCs w:val="20"/>
              </w:rPr>
              <w:t xml:space="preserve">Priority</w:t>
            </w:r>
          </w:p>
        </w:tc>
        <w:tc>
          <w:tcPr>
            <w:tcW w:type="pct" w:w="20%"/>
            <w:shd w:color="1B3A5C" w:val="solid"/>
          </w:tcPr>
          <w:p>
            <w:r>
              <w:rPr>
                <w:rFonts w:ascii="Arial" w:cs="Arial" w:eastAsia="Arial" w:hAnsi="Arial"/>
                <w:b/>
                <w:bCs/>
                <w:color w:val="FFFFFF"/>
                <w:sz w:val="20"/>
                <w:szCs w:val="20"/>
              </w:rPr>
              <w:t xml:space="preserve">Category</w:t>
            </w:r>
          </w:p>
        </w:tc>
        <w:tc>
          <w:tcPr>
            <w:tcW w:type="pct" w:w="20%"/>
            <w:shd w:color="1B3A5C" w:val="solid"/>
          </w:tcPr>
          <w:p>
            <w:r>
              <w:rPr>
                <w:rFonts w:ascii="Arial" w:cs="Arial" w:eastAsia="Arial" w:hAnsi="Arial"/>
                <w:b/>
                <w:bCs/>
                <w:color w:val="FFFFFF"/>
                <w:sz w:val="20"/>
                <w:szCs w:val="20"/>
              </w:rPr>
              <w:t xml:space="preserve">Description</w:t>
            </w:r>
          </w:p>
        </w:tc>
        <w:tc>
          <w:tcPr>
            <w:tcW w:type="pct" w:w="20%"/>
            <w:shd w:color="1B3A5C" w:val="solid"/>
          </w:tcPr>
          <w:p>
            <w:r>
              <w:rPr>
                <w:rFonts w:ascii="Arial" w:cs="Arial" w:eastAsia="Arial" w:hAnsi="Arial"/>
                <w:b/>
                <w:bCs/>
                <w:color w:val="FFFFFF"/>
                <w:sz w:val="20"/>
                <w:szCs w:val="20"/>
              </w:rPr>
              <w:t xml:space="preserve">Examples</w:t>
            </w:r>
          </w:p>
        </w:tc>
        <w:tc>
          <w:tcPr>
            <w:tcW w:type="pct" w:w="20%"/>
            <w:shd w:color="1B3A5C" w:val="solid"/>
          </w:tcPr>
          <w:p>
            <w:r>
              <w:rPr>
                <w:rFonts w:ascii="Arial" w:cs="Arial" w:eastAsia="Arial" w:hAnsi="Arial"/>
                <w:b/>
                <w:bCs/>
                <w:color w:val="FFFFFF"/>
                <w:sz w:val="20"/>
                <w:szCs w:val="20"/>
              </w:rPr>
              <w:t xml:space="preserve">Initial Response Time</w:t>
            </w:r>
          </w:p>
        </w:tc>
      </w:tr>
      <w:tr>
        <w:tc>
          <w:p>
            <w:r>
              <w:rPr>
                <w:rFonts w:ascii="Arial" w:cs="Arial" w:eastAsia="Arial" w:hAnsi="Arial"/>
                <w:sz w:val="20"/>
                <w:szCs w:val="20"/>
              </w:rPr>
              <w:t xml:space="preserve">P1 - Critical</w:t>
            </w:r>
          </w:p>
        </w:tc>
        <w:tc>
          <w:p>
            <w:r>
              <w:rPr>
                <w:rFonts w:ascii="Arial" w:cs="Arial" w:eastAsia="Arial" w:hAnsi="Arial"/>
                <w:sz w:val="20"/>
                <w:szCs w:val="20"/>
              </w:rPr>
              <w:t xml:space="preserve">Data Breach / PII Exposure</w:t>
            </w:r>
          </w:p>
        </w:tc>
        <w:tc>
          <w:p>
            <w:r>
              <w:rPr>
                <w:rFonts w:ascii="Arial" w:cs="Arial" w:eastAsia="Arial" w:hAnsi="Arial"/>
                <w:sz w:val="20"/>
                <w:szCs w:val="20"/>
              </w:rPr>
              <w:t xml:space="preserve">Confirmed unauthorized access to, disclosure of, or exfiltration of consumer PII, PHI, or FTI</w:t>
            </w:r>
          </w:p>
        </w:tc>
        <w:tc>
          <w:p>
            <w:r>
              <w:rPr>
                <w:rFonts w:ascii="Arial" w:cs="Arial" w:eastAsia="Arial" w:hAnsi="Arial"/>
                <w:sz w:val="20"/>
                <w:szCs w:val="20"/>
              </w:rPr>
              <w:t xml:space="preserve">Database breach, SSN exposure, FTI unauthorized access, ransomware with data exfiltration</w:t>
            </w:r>
          </w:p>
        </w:tc>
        <w:tc>
          <w:p>
            <w:r>
              <w:rPr>
                <w:rFonts w:ascii="Arial" w:cs="Arial" w:eastAsia="Arial" w:hAnsi="Arial"/>
                <w:sz w:val="20"/>
                <w:szCs w:val="20"/>
              </w:rPr>
              <w:t xml:space="preserve">Immediate (&lt; 15 minutes)</w:t>
            </w:r>
          </w:p>
        </w:tc>
      </w:tr>
      <w:tr>
        <w:tc>
          <w:p>
            <w:r>
              <w:rPr>
                <w:rFonts w:ascii="Arial" w:cs="Arial" w:eastAsia="Arial" w:hAnsi="Arial"/>
                <w:sz w:val="20"/>
                <w:szCs w:val="20"/>
              </w:rPr>
              <w:t xml:space="preserve">P2 - High</w:t>
            </w:r>
          </w:p>
        </w:tc>
        <w:tc>
          <w:p>
            <w:r>
              <w:rPr>
                <w:rFonts w:ascii="Arial" w:cs="Arial" w:eastAsia="Arial" w:hAnsi="Arial"/>
                <w:sz w:val="20"/>
                <w:szCs w:val="20"/>
              </w:rPr>
              <w:t xml:space="preserve">System Compromise / Unauthorized Access</w:t>
            </w:r>
          </w:p>
        </w:tc>
        <w:tc>
          <w:p>
            <w:r>
              <w:rPr>
                <w:rFonts w:ascii="Arial" w:cs="Arial" w:eastAsia="Arial" w:hAnsi="Arial"/>
                <w:sz w:val="20"/>
                <w:szCs w:val="20"/>
              </w:rPr>
              <w:t xml:space="preserve">Unauthorized access to systems without confirmed data exposure, or significant system compromise</w:t>
            </w:r>
          </w:p>
        </w:tc>
        <w:tc>
          <w:p>
            <w:r>
              <w:rPr>
                <w:rFonts w:ascii="Arial" w:cs="Arial" w:eastAsia="Arial" w:hAnsi="Arial"/>
                <w:sz w:val="20"/>
                <w:szCs w:val="20"/>
              </w:rPr>
              <w:t xml:space="preserve">Unauthorized admin access, malware detection, EDE API credential compromise, privilege escalation</w:t>
            </w:r>
          </w:p>
        </w:tc>
        <w:tc>
          <w:p>
            <w:r>
              <w:rPr>
                <w:rFonts w:ascii="Arial" w:cs="Arial" w:eastAsia="Arial" w:hAnsi="Arial"/>
                <w:sz w:val="20"/>
                <w:szCs w:val="20"/>
              </w:rPr>
              <w:t xml:space="preserve">Within 30 minutes</w:t>
            </w:r>
          </w:p>
        </w:tc>
      </w:tr>
      <w:tr>
        <w:tc>
          <w:p>
            <w:r>
              <w:rPr>
                <w:rFonts w:ascii="Arial" w:cs="Arial" w:eastAsia="Arial" w:hAnsi="Arial"/>
                <w:sz w:val="20"/>
                <w:szCs w:val="20"/>
              </w:rPr>
              <w:t xml:space="preserve">P3 - Medium</w:t>
            </w:r>
          </w:p>
        </w:tc>
        <w:tc>
          <w:p>
            <w:r>
              <w:rPr>
                <w:rFonts w:ascii="Arial" w:cs="Arial" w:eastAsia="Arial" w:hAnsi="Arial"/>
                <w:sz w:val="20"/>
                <w:szCs w:val="20"/>
              </w:rPr>
              <w:t xml:space="preserve">Policy Violation / Suspicious Activity</w:t>
            </w:r>
          </w:p>
        </w:tc>
        <w:tc>
          <w:p>
            <w:r>
              <w:rPr>
                <w:rFonts w:ascii="Arial" w:cs="Arial" w:eastAsia="Arial" w:hAnsi="Arial"/>
                <w:sz w:val="20"/>
                <w:szCs w:val="20"/>
              </w:rPr>
              <w:t xml:space="preserve">Violations of security policies or suspicious activity patterns that may indicate attempted compromise</w:t>
            </w:r>
          </w:p>
        </w:tc>
        <w:tc>
          <w:p>
            <w:r>
              <w:rPr>
                <w:rFonts w:ascii="Arial" w:cs="Arial" w:eastAsia="Arial" w:hAnsi="Arial"/>
                <w:sz w:val="20"/>
                <w:szCs w:val="20"/>
              </w:rPr>
              <w:t xml:space="preserve">Excessive failed login attempts, unauthorized configuration changes, policy bypass attempts, anomalous data access patterns</w:t>
            </w:r>
          </w:p>
        </w:tc>
        <w:tc>
          <w:p>
            <w:r>
              <w:rPr>
                <w:rFonts w:ascii="Arial" w:cs="Arial" w:eastAsia="Arial" w:hAnsi="Arial"/>
                <w:sz w:val="20"/>
                <w:szCs w:val="20"/>
              </w:rPr>
              <w:t xml:space="preserve">Within 2 hours</w:t>
            </w:r>
          </w:p>
        </w:tc>
      </w:tr>
      <w:tr>
        <w:tc>
          <w:p>
            <w:r>
              <w:rPr>
                <w:rFonts w:ascii="Arial" w:cs="Arial" w:eastAsia="Arial" w:hAnsi="Arial"/>
                <w:sz w:val="20"/>
                <w:szCs w:val="20"/>
              </w:rPr>
              <w:t xml:space="preserve">P4 - Low</w:t>
            </w:r>
          </w:p>
        </w:tc>
        <w:tc>
          <w:p>
            <w:r>
              <w:rPr>
                <w:rFonts w:ascii="Arial" w:cs="Arial" w:eastAsia="Arial" w:hAnsi="Arial"/>
                <w:sz w:val="20"/>
                <w:szCs w:val="20"/>
              </w:rPr>
              <w:t xml:space="preserve">Vulnerability Discovered</w:t>
            </w:r>
          </w:p>
        </w:tc>
        <w:tc>
          <w:p>
            <w:r>
              <w:rPr>
                <w:rFonts w:ascii="Arial" w:cs="Arial" w:eastAsia="Arial" w:hAnsi="Arial"/>
                <w:sz w:val="20"/>
                <w:szCs w:val="20"/>
              </w:rPr>
              <w:t xml:space="preserve">Newly identified vulnerability in systems, dependencies, or configurations that could be exploited</w:t>
            </w:r>
          </w:p>
        </w:tc>
        <w:tc>
          <w:p>
            <w:r>
              <w:rPr>
                <w:rFonts w:ascii="Arial" w:cs="Arial" w:eastAsia="Arial" w:hAnsi="Arial"/>
                <w:sz w:val="20"/>
                <w:szCs w:val="20"/>
              </w:rPr>
              <w:t xml:space="preserve">CVE in application dependency, misconfigured firewall rule, weak encryption setting, unpatched software</w:t>
            </w:r>
          </w:p>
        </w:tc>
        <w:tc>
          <w:p>
            <w:r>
              <w:rPr>
                <w:rFonts w:ascii="Arial" w:cs="Arial" w:eastAsia="Arial" w:hAnsi="Arial"/>
                <w:sz w:val="20"/>
                <w:szCs w:val="20"/>
              </w:rPr>
              <w:t xml:space="preserve">Within 24 hours</w:t>
            </w:r>
          </w:p>
        </w:tc>
      </w:tr>
    </w:tbl>
    <w:p>
      <w:pPr>
        <w:spacing w:before="200"/>
      </w:pPr>
    </w:p>
    <w:p>
      <w:pPr>
        <w:spacing w:after="120"/>
        <w:jc w:val="both"/>
      </w:pPr>
      <w:r>
        <w:rPr>
          <w:rFonts w:ascii="Arial" w:cs="Arial" w:eastAsia="Arial" w:hAnsi="Arial"/>
          <w:b w:val="false"/>
          <w:bCs w:val="false"/>
          <w:i/>
          <w:iCs/>
          <w:sz w:val="22"/>
          <w:szCs w:val="22"/>
        </w:rPr>
        <w:t xml:space="preserve">Incident Escalation: Any P3 or P4 incident may be escalated to a higher priority level if new information indicates greater severity. The Incident Commander has authority to adjust priority classification at any time during the response.</w:t>
      </w:r>
    </w:p>
    <w:p>
      <w:pPr>
        <w:pStyle w:val="Heading1"/>
        <w:spacing w:after="120" w:before="300"/>
      </w:pPr>
      <w:r>
        <w:rPr>
          <w:rFonts w:ascii="Arial" w:cs="Arial" w:eastAsia="Arial" w:hAnsi="Arial"/>
          <w:b/>
          <w:bCs/>
          <w:color w:val="1B3A5C"/>
          <w:sz w:val="32"/>
          <w:szCs w:val="32"/>
        </w:rPr>
        <w:t xml:space="preserve">3. Incident Response Team</w:t>
      </w:r>
    </w:p>
    <w:p>
      <w:pPr>
        <w:spacing w:after="120"/>
        <w:jc w:val="both"/>
      </w:pPr>
      <w:r>
        <w:rPr>
          <w:rFonts w:ascii="Arial" w:cs="Arial" w:eastAsia="Arial" w:hAnsi="Arial"/>
          <w:b w:val="false"/>
          <w:bCs w:val="false"/>
          <w:i w:val="false"/>
          <w:iCs w:val="false"/>
          <w:sz w:val="22"/>
          <w:szCs w:val="22"/>
        </w:rPr>
        <w:t>The HPS AgentLink Incident Response Team (IRT) is composed of designated personnel with specific roles and responsibilities during incident response:</w:t>
      </w:r>
    </w:p>
    <w:p>
      <w:pPr>
        <w:spacing w:before="1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rPr>
          <w:tblHeader/>
        </w:trPr>
        <w:tc>
          <w:tcPr>
            <w:tcW w:type="pct" w:w="25%"/>
            <w:shd w:color="1B3A5C" w:val="solid"/>
          </w:tcPr>
          <w:p>
            <w:r>
              <w:rPr>
                <w:rFonts w:ascii="Arial" w:cs="Arial" w:eastAsia="Arial" w:hAnsi="Arial"/>
                <w:b/>
                <w:bCs/>
                <w:color w:val="FFFFFF"/>
                <w:sz w:val="20"/>
                <w:szCs w:val="20"/>
              </w:rPr>
              <w:t xml:space="preserve">Role</w:t>
            </w:r>
          </w:p>
        </w:tc>
        <w:tc>
          <w:tcPr>
            <w:tcW w:type="pct" w:w="25%"/>
            <w:shd w:color="1B3A5C" w:val="solid"/>
          </w:tcPr>
          <w:p>
            <w:r>
              <w:rPr>
                <w:rFonts w:ascii="Arial" w:cs="Arial" w:eastAsia="Arial" w:hAnsi="Arial"/>
                <w:b/>
                <w:bCs/>
                <w:color w:val="FFFFFF"/>
                <w:sz w:val="20"/>
                <w:szCs w:val="20"/>
              </w:rPr>
              <w:t xml:space="preserve">Primary Responsibility</w:t>
            </w:r>
          </w:p>
        </w:tc>
        <w:tc>
          <w:tcPr>
            <w:tcW w:type="pct" w:w="25%"/>
            <w:shd w:color="1B3A5C" w:val="solid"/>
          </w:tcPr>
          <w:p>
            <w:r>
              <w:rPr>
                <w:rFonts w:ascii="Arial" w:cs="Arial" w:eastAsia="Arial" w:hAnsi="Arial"/>
                <w:b/>
                <w:bCs/>
                <w:color w:val="FFFFFF"/>
                <w:sz w:val="20"/>
                <w:szCs w:val="20"/>
              </w:rPr>
              <w:t xml:space="preserve">Activation Trigger</w:t>
            </w:r>
          </w:p>
        </w:tc>
        <w:tc>
          <w:tcPr>
            <w:tcW w:type="pct" w:w="25%"/>
            <w:shd w:color="1B3A5C" w:val="solid"/>
          </w:tcPr>
          <w:p>
            <w:r>
              <w:rPr>
                <w:rFonts w:ascii="Arial" w:cs="Arial" w:eastAsia="Arial" w:hAnsi="Arial"/>
                <w:b/>
                <w:bCs/>
                <w:color w:val="FFFFFF"/>
                <w:sz w:val="20"/>
                <w:szCs w:val="20"/>
              </w:rPr>
              <w:t xml:space="preserve">Backup</w:t>
            </w:r>
          </w:p>
        </w:tc>
      </w:tr>
      <w:tr>
        <w:tc>
          <w:p>
            <w:r>
              <w:rPr>
                <w:rFonts w:ascii="Arial" w:cs="Arial" w:eastAsia="Arial" w:hAnsi="Arial"/>
                <w:sz w:val="20"/>
                <w:szCs w:val="20"/>
              </w:rPr>
              <w:t xml:space="preserve">Incident Commander (CISO)</w:t>
            </w:r>
          </w:p>
        </w:tc>
        <w:tc>
          <w:p>
            <w:r>
              <w:rPr>
                <w:rFonts w:ascii="Arial" w:cs="Arial" w:eastAsia="Arial" w:hAnsi="Arial"/>
                <w:sz w:val="20"/>
                <w:szCs w:val="20"/>
              </w:rPr>
              <w:t xml:space="preserve">Overall incident coordination, decision authority, external communication authorization</w:t>
            </w:r>
          </w:p>
        </w:tc>
        <w:tc>
          <w:p>
            <w:r>
              <w:rPr>
                <w:rFonts w:ascii="Arial" w:cs="Arial" w:eastAsia="Arial" w:hAnsi="Arial"/>
                <w:sz w:val="20"/>
                <w:szCs w:val="20"/>
              </w:rPr>
              <w:t xml:space="preserve">All P1/P2 incidents; P3 incidents upon escalation</w:t>
            </w:r>
          </w:p>
        </w:tc>
        <w:tc>
          <w:p>
            <w:r>
              <w:rPr>
                <w:rFonts w:ascii="Arial" w:cs="Arial" w:eastAsia="Arial" w:hAnsi="Arial"/>
                <w:sz w:val="20"/>
                <w:szCs w:val="20"/>
              </w:rPr>
              <w:t xml:space="preserve">Engineering Lead</w:t>
            </w:r>
          </w:p>
        </w:tc>
      </w:tr>
      <w:tr>
        <w:tc>
          <w:p>
            <w:r>
              <w:rPr>
                <w:rFonts w:ascii="Arial" w:cs="Arial" w:eastAsia="Arial" w:hAnsi="Arial"/>
                <w:sz w:val="20"/>
                <w:szCs w:val="20"/>
              </w:rPr>
              <w:t xml:space="preserve">Engineering Lead</w:t>
            </w:r>
          </w:p>
        </w:tc>
        <w:tc>
          <w:p>
            <w:r>
              <w:rPr>
                <w:rFonts w:ascii="Arial" w:cs="Arial" w:eastAsia="Arial" w:hAnsi="Arial"/>
                <w:sz w:val="20"/>
                <w:szCs w:val="20"/>
              </w:rPr>
              <w:t xml:space="preserve">Technical investigation, containment execution, system recovery</w:t>
            </w:r>
          </w:p>
        </w:tc>
        <w:tc>
          <w:p>
            <w:r>
              <w:rPr>
                <w:rFonts w:ascii="Arial" w:cs="Arial" w:eastAsia="Arial" w:hAnsi="Arial"/>
                <w:sz w:val="20"/>
                <w:szCs w:val="20"/>
              </w:rPr>
              <w:t xml:space="preserve">All classified incidents</w:t>
            </w:r>
          </w:p>
        </w:tc>
        <w:tc>
          <w:p>
            <w:r>
              <w:rPr>
                <w:rFonts w:ascii="Arial" w:cs="Arial" w:eastAsia="Arial" w:hAnsi="Arial"/>
                <w:sz w:val="20"/>
                <w:szCs w:val="20"/>
              </w:rPr>
              <w:t xml:space="preserve">Senior Engineer on-call</w:t>
            </w:r>
          </w:p>
        </w:tc>
      </w:tr>
      <w:tr>
        <w:tc>
          <w:p>
            <w:r>
              <w:rPr>
                <w:rFonts w:ascii="Arial" w:cs="Arial" w:eastAsia="Arial" w:hAnsi="Arial"/>
                <w:sz w:val="20"/>
                <w:szCs w:val="20"/>
              </w:rPr>
              <w:t xml:space="preserve">Legal Counsel</w:t>
            </w:r>
          </w:p>
        </w:tc>
        <w:tc>
          <w:p>
            <w:r>
              <w:rPr>
                <w:rFonts w:ascii="Arial" w:cs="Arial" w:eastAsia="Arial" w:hAnsi="Arial"/>
                <w:sz w:val="20"/>
                <w:szCs w:val="20"/>
              </w:rPr>
              <w:t xml:space="preserve">Regulatory compliance assessment, breach notification requirements, evidence preservation guidance</w:t>
            </w:r>
          </w:p>
        </w:tc>
        <w:tc>
          <w:p>
            <w:r>
              <w:rPr>
                <w:rFonts w:ascii="Arial" w:cs="Arial" w:eastAsia="Arial" w:hAnsi="Arial"/>
                <w:sz w:val="20"/>
                <w:szCs w:val="20"/>
              </w:rPr>
              <w:t xml:space="preserve">All P1 incidents; P2 incidents with potential regulatory impact</w:t>
            </w:r>
          </w:p>
        </w:tc>
        <w:tc>
          <w:p>
            <w:r>
              <w:rPr>
                <w:rFonts w:ascii="Arial" w:cs="Arial" w:eastAsia="Arial" w:hAnsi="Arial"/>
                <w:sz w:val="20"/>
                <w:szCs w:val="20"/>
              </w:rPr>
              <w:t xml:space="preserve">External legal firm</w:t>
            </w:r>
          </w:p>
        </w:tc>
      </w:tr>
      <w:tr>
        <w:tc>
          <w:p>
            <w:r>
              <w:rPr>
                <w:rFonts w:ascii="Arial" w:cs="Arial" w:eastAsia="Arial" w:hAnsi="Arial"/>
                <w:sz w:val="20"/>
                <w:szCs w:val="20"/>
              </w:rPr>
              <w:t xml:space="preserve">CMS Liaison</w:t>
            </w:r>
          </w:p>
        </w:tc>
        <w:tc>
          <w:p>
            <w:r>
              <w:rPr>
                <w:rFonts w:ascii="Arial" w:cs="Arial" w:eastAsia="Arial" w:hAnsi="Arial"/>
                <w:sz w:val="20"/>
                <w:szCs w:val="20"/>
              </w:rPr>
              <w:t xml:space="preserve">Communication with CMS ISSO, EDE compliance coordination, CMS notification filings</w:t>
            </w:r>
          </w:p>
        </w:tc>
        <w:tc>
          <w:p>
            <w:r>
              <w:rPr>
                <w:rFonts w:ascii="Arial" w:cs="Arial" w:eastAsia="Arial" w:hAnsi="Arial"/>
                <w:sz w:val="20"/>
                <w:szCs w:val="20"/>
              </w:rPr>
              <w:t xml:space="preserve">All P1 incidents; P2 incidents affecting EDE systems</w:t>
            </w:r>
          </w:p>
        </w:tc>
        <w:tc>
          <w:p>
            <w:r>
              <w:rPr>
                <w:rFonts w:ascii="Arial" w:cs="Arial" w:eastAsia="Arial" w:hAnsi="Arial"/>
                <w:sz w:val="20"/>
                <w:szCs w:val="20"/>
              </w:rPr>
              <w:t xml:space="preserve">CISO (backup)</w:t>
            </w:r>
          </w:p>
        </w:tc>
      </w:tr>
      <w:tr>
        <w:tc>
          <w:p>
            <w:r>
              <w:rPr>
                <w:rFonts w:ascii="Arial" w:cs="Arial" w:eastAsia="Arial" w:hAnsi="Arial"/>
                <w:sz w:val="20"/>
                <w:szCs w:val="20"/>
              </w:rPr>
              <w:t xml:space="preserve">Communications Lead</w:t>
            </w:r>
          </w:p>
        </w:tc>
        <w:tc>
          <w:p>
            <w:r>
              <w:rPr>
                <w:rFonts w:ascii="Arial" w:cs="Arial" w:eastAsia="Arial" w:hAnsi="Arial"/>
                <w:sz w:val="20"/>
                <w:szCs w:val="20"/>
              </w:rPr>
              <w:t xml:space="preserve">Consumer notification drafting, public communication, media management</w:t>
            </w:r>
          </w:p>
        </w:tc>
        <w:tc>
          <w:p>
            <w:r>
              <w:rPr>
                <w:rFonts w:ascii="Arial" w:cs="Arial" w:eastAsia="Arial" w:hAnsi="Arial"/>
                <w:sz w:val="20"/>
                <w:szCs w:val="20"/>
              </w:rPr>
              <w:t xml:space="preserve">P1 incidents with breach notification requirements</w:t>
            </w:r>
          </w:p>
        </w:tc>
        <w:tc>
          <w:p>
            <w:r>
              <w:rPr>
                <w:rFonts w:ascii="Arial" w:cs="Arial" w:eastAsia="Arial" w:hAnsi="Arial"/>
                <w:sz w:val="20"/>
                <w:szCs w:val="20"/>
              </w:rPr>
              <w:t xml:space="preserve">Legal Counsel</w:t>
            </w:r>
          </w:p>
        </w:tc>
      </w:tr>
    </w:tbl>
    <w:p>
      <w:pPr>
        <w:pStyle w:val="Heading2"/>
        <w:spacing w:after="120" w:before="300"/>
      </w:pPr>
      <w:r>
        <w:rPr>
          <w:rFonts w:ascii="Arial" w:cs="Arial" w:eastAsia="Arial" w:hAnsi="Arial"/>
          <w:b/>
          <w:bCs/>
          <w:color w:val="1B3A5C"/>
          <w:sz w:val="26"/>
          <w:szCs w:val="26"/>
        </w:rPr>
        <w:t xml:space="preserve">3.1 On-Call Rotation</w:t>
      </w:r>
    </w:p>
    <w:p>
      <w:pPr>
        <w:spacing w:after="120"/>
        <w:jc w:val="both"/>
      </w:pPr>
      <w:r>
        <w:rPr>
          <w:rFonts w:ascii="Arial" w:cs="Arial" w:eastAsia="Arial" w:hAnsi="Arial"/>
          <w:b w:val="false"/>
          <w:bCs w:val="false"/>
          <w:i w:val="false"/>
          <w:iCs w:val="false"/>
          <w:sz w:val="22"/>
          <w:szCs w:val="22"/>
        </w:rPr>
        <w:t xml:space="preserve">A 24/7/365 on-call rotation is maintained for the Engineering Lead role. The on-call engineer serves as first responder for all automated alerts and has authority to initiate the incident response process. On-call schedules are maintained in the operational runbook and updated weekly.</w:t>
      </w:r>
    </w:p>
    <w:p>
      <w:pPr>
        <w:pStyle w:val="Heading2"/>
        <w:spacing w:after="120" w:before="300"/>
      </w:pPr>
      <w:r>
        <w:rPr>
          <w:rFonts w:ascii="Arial" w:cs="Arial" w:eastAsia="Arial" w:hAnsi="Arial"/>
          <w:b/>
          <w:bCs/>
          <w:color w:val="1B3A5C"/>
          <w:sz w:val="26"/>
          <w:szCs w:val="26"/>
        </w:rPr>
        <w:t xml:space="preserve">3.2 Activation Protocol</w:t>
      </w:r>
    </w:p>
    <w:p>
      <w:pPr>
        <w:spacing w:after="120"/>
        <w:jc w:val="both"/>
      </w:pPr>
      <w:r>
        <w:rPr>
          <w:rFonts w:ascii="Arial" w:cs="Arial" w:eastAsia="Arial" w:hAnsi="Arial"/>
          <w:b w:val="false"/>
          <w:bCs w:val="false"/>
          <w:i w:val="false"/>
          <w:iCs w:val="false"/>
          <w:sz w:val="22"/>
          <w:szCs w:val="22"/>
        </w:rPr>
        <w:t xml:space="preserve">The IRT is activated through the following escalation chain:</w:t>
      </w:r>
    </w:p>
    <w:p>
      <w:pPr>
        <w:pStyle w:val="ListParagraph"/>
        <w:numPr>
          <w:ilvl w:val="0"/>
          <w:numId w:val="1"/>
        </w:numPr>
        <w:spacing w:after="60"/>
      </w:pPr>
      <w:r>
        <w:rPr>
          <w:rFonts w:ascii="Arial" w:cs="Arial" w:eastAsia="Arial" w:hAnsi="Arial"/>
          <w:sz w:val="22"/>
          <w:szCs w:val="22"/>
        </w:rPr>
        <w:t xml:space="preserve">Automated alerts or manual detection trigger initial notification to on-call Engineering Lead.</w:t>
      </w:r>
    </w:p>
    <w:p>
      <w:pPr>
        <w:pStyle w:val="ListParagraph"/>
        <w:numPr>
          <w:ilvl w:val="0"/>
          <w:numId w:val="1"/>
        </w:numPr>
        <w:spacing w:after="60"/>
      </w:pPr>
      <w:r>
        <w:rPr>
          <w:rFonts w:ascii="Arial" w:cs="Arial" w:eastAsia="Arial" w:hAnsi="Arial"/>
          <w:sz w:val="22"/>
          <w:szCs w:val="22"/>
        </w:rPr>
        <w:t xml:space="preserve">Engineering Lead classifies the incident and notifies the Incident Commander for P1/P2 incidents.</w:t>
      </w:r>
    </w:p>
    <w:p>
      <w:pPr>
        <w:pStyle w:val="ListParagraph"/>
        <w:numPr>
          <w:ilvl w:val="0"/>
          <w:numId w:val="1"/>
        </w:numPr>
        <w:spacing w:after="60"/>
      </w:pPr>
      <w:r>
        <w:rPr>
          <w:rFonts w:ascii="Arial" w:cs="Arial" w:eastAsia="Arial" w:hAnsi="Arial"/>
          <w:sz w:val="22"/>
          <w:szCs w:val="22"/>
        </w:rPr>
        <w:t xml:space="preserve">Incident Commander activates additional IRT members based on incident classification.</w:t>
      </w:r>
    </w:p>
    <w:p>
      <w:pPr>
        <w:pStyle w:val="ListParagraph"/>
        <w:numPr>
          <w:ilvl w:val="0"/>
          <w:numId w:val="1"/>
        </w:numPr>
        <w:spacing w:after="60"/>
      </w:pPr>
      <w:r>
        <w:rPr>
          <w:rFonts w:ascii="Arial" w:cs="Arial" w:eastAsia="Arial" w:hAnsi="Arial"/>
          <w:sz w:val="22"/>
          <w:szCs w:val="22"/>
        </w:rPr>
        <w:t xml:space="preserve">War room (physical or virtual) is established within 30 minutes for P1 incidents.</w:t>
      </w:r>
    </w:p>
    <w:p>
      <w:pPr>
        <w:pStyle w:val="Heading1"/>
        <w:spacing w:after="120" w:before="300"/>
      </w:pPr>
      <w:r>
        <w:rPr>
          <w:rFonts w:ascii="Arial" w:cs="Arial" w:eastAsia="Arial" w:hAnsi="Arial"/>
          <w:b/>
          <w:bCs/>
          <w:color w:val="1B3A5C"/>
          <w:sz w:val="32"/>
          <w:szCs w:val="32"/>
        </w:rPr>
        <w:t xml:space="preserve">4. Detection and Identification</w:t>
      </w:r>
    </w:p>
    <w:p>
      <w:pPr>
        <w:spacing w:after="120"/>
        <w:jc w:val="both"/>
      </w:pPr>
      <w:r>
        <w:rPr>
          <w:rFonts w:ascii="Arial" w:cs="Arial" w:eastAsia="Arial" w:hAnsi="Arial"/>
          <w:b w:val="false"/>
          <w:bCs w:val="false"/>
          <w:i w:val="false"/>
          <w:iCs w:val="false"/>
          <w:sz w:val="22"/>
          <w:szCs w:val="22"/>
        </w:rPr>
        <w:t>HPS AgentLink employs multiple detection mechanisms to identify security incidents at the earliest possible stage:</w:t>
      </w:r>
    </w:p>
    <w:p>
      <w:pPr>
        <w:pStyle w:val="Heading2"/>
        <w:spacing w:after="120" w:before="300"/>
      </w:pPr>
      <w:r>
        <w:rPr>
          <w:rFonts w:ascii="Arial" w:cs="Arial" w:eastAsia="Arial" w:hAnsi="Arial"/>
          <w:b/>
          <w:bCs/>
          <w:color w:val="1B3A5C"/>
          <w:sz w:val="26"/>
          <w:szCs w:val="26"/>
        </w:rPr>
        <w:t xml:space="preserve">4.1 Automated Detection</w:t>
      </w:r>
    </w:p>
    <w:p>
      <w:pPr>
        <w:pStyle w:val="ListParagraph"/>
        <w:numPr>
          <w:ilvl w:val="0"/>
          <w:numId w:val="1"/>
        </w:numPr>
        <w:spacing w:after="60"/>
      </w:pPr>
      <w:r>
        <w:rPr>
          <w:rFonts w:ascii="Arial" w:cs="Arial" w:eastAsia="Arial" w:hAnsi="Arial"/>
          <w:sz w:val="22"/>
          <w:szCs w:val="22"/>
        </w:rPr>
        <w:t xml:space="preserve">Audit Log Monitoring: Comprehensive logging of all system events with real-time analysis for anomalous patterns, including unauthorized data access, privilege escalation attempts, and unusual query volumes.</w:t>
      </w:r>
    </w:p>
    <w:p>
      <w:pPr>
        <w:pStyle w:val="ListParagraph"/>
        <w:numPr>
          <w:ilvl w:val="0"/>
          <w:numId w:val="1"/>
        </w:numPr>
        <w:spacing w:after="60"/>
      </w:pPr>
      <w:r>
        <w:rPr>
          <w:rFonts w:ascii="Arial" w:cs="Arial" w:eastAsia="Arial" w:hAnsi="Arial"/>
          <w:sz w:val="22"/>
          <w:szCs w:val="22"/>
        </w:rPr>
        <w:t xml:space="preserve">Rate Limit Alerts: Application-level rate limiting with automated alerts when thresholds are exceeded, indicating potential brute-force attacks, credential stuffing, or API abuse.</w:t>
      </w:r>
    </w:p>
    <w:p>
      <w:pPr>
        <w:pStyle w:val="ListParagraph"/>
        <w:numPr>
          <w:ilvl w:val="0"/>
          <w:numId w:val="1"/>
        </w:numPr>
        <w:spacing w:after="60"/>
      </w:pPr>
      <w:r>
        <w:rPr>
          <w:rFonts w:ascii="Arial" w:cs="Arial" w:eastAsia="Arial" w:hAnsi="Arial"/>
          <w:sz w:val="22"/>
          <w:szCs w:val="22"/>
        </w:rPr>
        <w:t xml:space="preserve">Performance Monitor Health Checks: The performance-monitor.ts subsystem provides continuous health monitoring including response time degradation, error rate spikes, and resource utilization anomalies that may indicate security incidents.</w:t>
      </w:r>
    </w:p>
    <w:p>
      <w:pPr>
        <w:pStyle w:val="ListParagraph"/>
        <w:numPr>
          <w:ilvl w:val="0"/>
          <w:numId w:val="1"/>
        </w:numPr>
        <w:spacing w:after="60"/>
      </w:pPr>
      <w:r>
        <w:rPr>
          <w:rFonts w:ascii="Arial" w:cs="Arial" w:eastAsia="Arial" w:hAnsi="Arial"/>
          <w:sz w:val="22"/>
          <w:szCs w:val="22"/>
        </w:rPr>
        <w:t xml:space="preserve">Failed Authentication Tracking: Real-time tracking of failed login attempts with automated account lockout after 5 consecutive failures and immediate notification to the security operations team.</w:t>
      </w:r>
    </w:p>
    <w:p>
      <w:pPr>
        <w:pStyle w:val="ListParagraph"/>
        <w:numPr>
          <w:ilvl w:val="0"/>
          <w:numId w:val="1"/>
        </w:numPr>
        <w:spacing w:after="60"/>
      </w:pPr>
      <w:r>
        <w:rPr>
          <w:rFonts w:ascii="Arial" w:cs="Arial" w:eastAsia="Arial" w:hAnsi="Arial"/>
          <w:sz w:val="22"/>
          <w:szCs w:val="22"/>
        </w:rPr>
        <w:t xml:space="preserve">Network Intrusion Detection: IDS/IPS systems monitoring network traffic for known attack signatures and anomalous communication patterns.</w:t>
      </w:r>
    </w:p>
    <w:p>
      <w:pPr>
        <w:pStyle w:val="ListParagraph"/>
        <w:numPr>
          <w:ilvl w:val="0"/>
          <w:numId w:val="1"/>
        </w:numPr>
        <w:spacing w:after="60"/>
      </w:pPr>
      <w:r>
        <w:rPr>
          <w:rFonts w:ascii="Arial" w:cs="Arial" w:eastAsia="Arial" w:hAnsi="Arial"/>
          <w:sz w:val="22"/>
          <w:szCs w:val="22"/>
        </w:rPr>
        <w:t xml:space="preserve">Database Query Analysis: Monitoring for unusual query patterns, bulk data extraction attempts, and unauthorized schema modifications.</w:t>
      </w:r>
    </w:p>
    <w:p>
      <w:pPr>
        <w:pStyle w:val="Heading2"/>
        <w:spacing w:after="120" w:before="300"/>
      </w:pPr>
      <w:r>
        <w:rPr>
          <w:rFonts w:ascii="Arial" w:cs="Arial" w:eastAsia="Arial" w:hAnsi="Arial"/>
          <w:b/>
          <w:bCs/>
          <w:color w:val="1B3A5C"/>
          <w:sz w:val="26"/>
          <w:szCs w:val="26"/>
        </w:rPr>
        <w:t xml:space="preserve">4.2 Manual Detection</w:t>
      </w:r>
    </w:p>
    <w:p>
      <w:pPr>
        <w:pStyle w:val="ListParagraph"/>
        <w:numPr>
          <w:ilvl w:val="0"/>
          <w:numId w:val="1"/>
        </w:numPr>
        <w:spacing w:after="60"/>
      </w:pPr>
      <w:r>
        <w:rPr>
          <w:rFonts w:ascii="Arial" w:cs="Arial" w:eastAsia="Arial" w:hAnsi="Arial"/>
          <w:sz w:val="22"/>
          <w:szCs w:val="22"/>
        </w:rPr>
        <w:t xml:space="preserve">User Reports: Brokers, agents, or consumers reporting suspicious activity through the support portal or direct communication.</w:t>
      </w:r>
    </w:p>
    <w:p>
      <w:pPr>
        <w:pStyle w:val="ListParagraph"/>
        <w:numPr>
          <w:ilvl w:val="0"/>
          <w:numId w:val="1"/>
        </w:numPr>
        <w:spacing w:after="60"/>
      </w:pPr>
      <w:r>
        <w:rPr>
          <w:rFonts w:ascii="Arial" w:cs="Arial" w:eastAsia="Arial" w:hAnsi="Arial"/>
          <w:sz w:val="22"/>
          <w:szCs w:val="22"/>
        </w:rPr>
        <w:t>Vendor Notifications: Security advisories from CMS, database hosting providers, or other technology vendors regarding vulnerabilities or known compromises.</w:t>
      </w:r>
    </w:p>
    <w:p>
      <w:pPr>
        <w:pStyle w:val="ListParagraph"/>
        <w:numPr>
          <w:ilvl w:val="0"/>
          <w:numId w:val="1"/>
        </w:numPr>
        <w:spacing w:after="60"/>
      </w:pPr>
      <w:r>
        <w:rPr>
          <w:rFonts w:ascii="Arial" w:cs="Arial" w:eastAsia="Arial" w:hAnsi="Arial"/>
          <w:sz w:val="22"/>
          <w:szCs w:val="22"/>
        </w:rPr>
        <w:t xml:space="preserve">Threat Intelligence: Regular review of CVE databases, security bulletins, and industry threat intelligence feeds.</w:t>
      </w:r>
    </w:p>
    <w:p>
      <w:pPr>
        <w:pStyle w:val="ListParagraph"/>
        <w:numPr>
          <w:ilvl w:val="0"/>
          <w:numId w:val="1"/>
        </w:numPr>
        <w:spacing w:after="60"/>
      </w:pPr>
      <w:r>
        <w:rPr>
          <w:rFonts w:ascii="Arial" w:cs="Arial" w:eastAsia="Arial" w:hAnsi="Arial"/>
          <w:sz w:val="22"/>
          <w:szCs w:val="22"/>
        </w:rPr>
        <w:t xml:space="preserve">Periodic Security Reviews: Scheduled vulnerability assessments, penetration testing, and security configuration audits.</w:t>
      </w:r>
    </w:p>
    <w:p>
      <w:pPr>
        <w:pStyle w:val="Heading2"/>
        <w:spacing w:after="120" w:before="300"/>
      </w:pPr>
      <w:r>
        <w:rPr>
          <w:rFonts w:ascii="Arial" w:cs="Arial" w:eastAsia="Arial" w:hAnsi="Arial"/>
          <w:b/>
          <w:bCs/>
          <w:color w:val="1B3A5C"/>
          <w:sz w:val="26"/>
          <w:szCs w:val="26"/>
        </w:rPr>
        <w:t xml:space="preserve">4.3 Incident Classification Process</w:t>
      </w:r>
    </w:p>
    <w:p>
      <w:pPr>
        <w:spacing w:after="120"/>
        <w:jc w:val="both"/>
      </w:pPr>
      <w:r>
        <w:rPr>
          <w:rFonts w:ascii="Arial" w:cs="Arial" w:eastAsia="Arial" w:hAnsi="Arial"/>
          <w:b w:val="false"/>
          <w:bCs w:val="false"/>
          <w:i w:val="false"/>
          <w:iCs w:val="false"/>
          <w:sz w:val="22"/>
          <w:szCs w:val="22"/>
        </w:rPr>
        <w:t xml:space="preserve">Upon detection, the responding engineer shall:</w:t>
      </w:r>
    </w:p>
    <w:p>
      <w:pPr>
        <w:pStyle w:val="ListParagraph"/>
        <w:numPr>
          <w:ilvl w:val="0"/>
          <w:numId w:val="1"/>
        </w:numPr>
        <w:spacing w:after="60"/>
      </w:pPr>
      <w:r>
        <w:rPr>
          <w:rFonts w:ascii="Arial" w:cs="Arial" w:eastAsia="Arial" w:hAnsi="Arial"/>
          <w:sz w:val="22"/>
          <w:szCs w:val="22"/>
        </w:rPr>
        <w:t xml:space="preserve">Document the initial indicators of compromise (IOCs) and detection source.</w:t>
      </w:r>
    </w:p>
    <w:p>
      <w:pPr>
        <w:pStyle w:val="ListParagraph"/>
        <w:numPr>
          <w:ilvl w:val="0"/>
          <w:numId w:val="1"/>
        </w:numPr>
        <w:spacing w:after="60"/>
      </w:pPr>
      <w:r>
        <w:rPr>
          <w:rFonts w:ascii="Arial" w:cs="Arial" w:eastAsia="Arial" w:hAnsi="Arial"/>
          <w:sz w:val="22"/>
          <w:szCs w:val="22"/>
        </w:rPr>
        <w:t xml:space="preserve">Assess the scope of potential impact (systems, data types, number of records).</w:t>
      </w:r>
    </w:p>
    <w:p>
      <w:pPr>
        <w:pStyle w:val="ListParagraph"/>
        <w:numPr>
          <w:ilvl w:val="0"/>
          <w:numId w:val="1"/>
        </w:numPr>
        <w:spacing w:after="60"/>
      </w:pPr>
      <w:r>
        <w:rPr>
          <w:rFonts w:ascii="Arial" w:cs="Arial" w:eastAsia="Arial" w:hAnsi="Arial"/>
          <w:sz w:val="22"/>
          <w:szCs w:val="22"/>
        </w:rPr>
        <w:t xml:space="preserve">Classify the incident according to the priority matrix in Section 2.</w:t>
      </w:r>
    </w:p>
    <w:p>
      <w:pPr>
        <w:pStyle w:val="ListParagraph"/>
        <w:numPr>
          <w:ilvl w:val="0"/>
          <w:numId w:val="1"/>
        </w:numPr>
        <w:spacing w:after="60"/>
      </w:pPr>
      <w:r>
        <w:rPr>
          <w:rFonts w:ascii="Arial" w:cs="Arial" w:eastAsia="Arial" w:hAnsi="Arial"/>
          <w:sz w:val="22"/>
          <w:szCs w:val="22"/>
        </w:rPr>
        <w:t xml:space="preserve">Create an incident ticket with preliminary classification, affected systems, and initial timeline.</w:t>
      </w:r>
    </w:p>
    <w:p>
      <w:pPr>
        <w:pStyle w:val="ListParagraph"/>
        <w:numPr>
          <w:ilvl w:val="0"/>
          <w:numId w:val="1"/>
        </w:numPr>
        <w:spacing w:after="60"/>
      </w:pPr>
      <w:r>
        <w:rPr>
          <w:rFonts w:ascii="Arial" w:cs="Arial" w:eastAsia="Arial" w:hAnsi="Arial"/>
          <w:sz w:val="22"/>
          <w:szCs w:val="22"/>
        </w:rPr>
        <w:t xml:space="preserve">Notify the appropriate IRT members per the activation protocol.</w:t>
      </w:r>
    </w:p>
    <w:p>
      <w:pPr>
        <w:pStyle w:val="Heading1"/>
        <w:spacing w:after="120" w:before="300"/>
      </w:pPr>
      <w:r>
        <w:rPr>
          <w:rFonts w:ascii="Arial" w:cs="Arial" w:eastAsia="Arial" w:hAnsi="Arial"/>
          <w:b/>
          <w:bCs/>
          <w:color w:val="1B3A5C"/>
          <w:sz w:val="32"/>
          <w:szCs w:val="32"/>
        </w:rPr>
        <w:t xml:space="preserve">5. Containment</w:t>
      </w:r>
    </w:p>
    <w:p>
      <w:pPr>
        <w:spacing w:after="120"/>
        <w:jc w:val="both"/>
      </w:pPr>
      <w:r>
        <w:rPr>
          <w:rFonts w:ascii="Arial" w:cs="Arial" w:eastAsia="Arial" w:hAnsi="Arial"/>
          <w:b w:val="false"/>
          <w:bCs w:val="false"/>
          <w:i w:val="false"/>
          <w:iCs w:val="false"/>
          <w:sz w:val="22"/>
          <w:szCs w:val="22"/>
        </w:rPr>
        <w:t xml:space="preserve">Containment actions are designed to limit the scope and impact of a security incident. Actions are selected based on incident type and severity:</w:t>
      </w:r>
    </w:p>
    <w:p>
      <w:pPr>
        <w:pStyle w:val="Heading2"/>
        <w:spacing w:after="120" w:before="300"/>
      </w:pPr>
      <w:r>
        <w:rPr>
          <w:rFonts w:ascii="Arial" w:cs="Arial" w:eastAsia="Arial" w:hAnsi="Arial"/>
          <w:b/>
          <w:bCs/>
          <w:color w:val="1B3A5C"/>
          <w:sz w:val="26"/>
          <w:szCs w:val="26"/>
        </w:rPr>
        <w:t xml:space="preserve">5.1 Immediate Containment (Short-Term)</w:t>
      </w:r>
    </w:p>
    <w:p>
      <w:pPr>
        <w:pStyle w:val="ListParagraph"/>
        <w:numPr>
          <w:ilvl w:val="0"/>
          <w:numId w:val="1"/>
        </w:numPr>
        <w:spacing w:after="60"/>
      </w:pPr>
      <w:r>
        <w:rPr>
          <w:rFonts w:ascii="Arial" w:cs="Arial" w:eastAsia="Arial" w:hAnsi="Arial"/>
          <w:sz w:val="22"/>
          <w:szCs w:val="22"/>
        </w:rPr>
        <w:t xml:space="preserve">Session Revocation: Immediate invalidation of all active user sessions for compromised accounts or, in the case of P1 incidents, all active sessions system-wide. NextAuth.js session tokens are revoked via database update.</w:t>
      </w:r>
    </w:p>
    <w:p>
      <w:pPr>
        <w:pStyle w:val="ListParagraph"/>
        <w:numPr>
          <w:ilvl w:val="0"/>
          <w:numId w:val="1"/>
        </w:numPr>
        <w:spacing w:after="60"/>
      </w:pPr>
      <w:r>
        <w:rPr>
          <w:rFonts w:ascii="Arial" w:cs="Arial" w:eastAsia="Arial" w:hAnsi="Arial"/>
          <w:sz w:val="22"/>
          <w:szCs w:val="22"/>
        </w:rPr>
        <w:t xml:space="preserve">Account Lockout: Immediate disabling of compromised user accounts, including broker/agent accounts and administrative accounts. Account re-enablement requires verification by the Incident Commander.</w:t>
      </w:r>
    </w:p>
    <w:p>
      <w:pPr>
        <w:pStyle w:val="ListParagraph"/>
        <w:numPr>
          <w:ilvl w:val="0"/>
          <w:numId w:val="1"/>
        </w:numPr>
        <w:spacing w:after="60"/>
      </w:pPr>
      <w:r>
        <w:rPr>
          <w:rFonts w:ascii="Arial" w:cs="Arial" w:eastAsia="Arial" w:hAnsi="Arial"/>
          <w:sz w:val="22"/>
          <w:szCs w:val="22"/>
        </w:rPr>
        <w:t xml:space="preserve">API Credential Rotation: Immediate rotation of EDE API credentials, carrier EDI credentials, and internal service account credentials if API-level compromise is suspected or confirmed.</w:t>
      </w:r>
    </w:p>
    <w:p>
      <w:pPr>
        <w:pStyle w:val="ListParagraph"/>
        <w:numPr>
          <w:ilvl w:val="0"/>
          <w:numId w:val="1"/>
        </w:numPr>
        <w:spacing w:after="60"/>
      </w:pPr>
      <w:r>
        <w:rPr>
          <w:rFonts w:ascii="Arial" w:cs="Arial" w:eastAsia="Arial" w:hAnsi="Arial"/>
          <w:sz w:val="22"/>
          <w:szCs w:val="22"/>
        </w:rPr>
        <w:t xml:space="preserve">Network Isolation: Isolation of affected systems from the production network while maintaining forensic evidence. This may include VLAN changes, firewall rule updates, or physical disconnection as warranted.</w:t>
      </w:r>
    </w:p>
    <w:p>
      <w:pPr>
        <w:pStyle w:val="Heading2"/>
        <w:spacing w:after="120" w:before="300"/>
      </w:pPr>
      <w:r>
        <w:rPr>
          <w:rFonts w:ascii="Arial" w:cs="Arial" w:eastAsia="Arial" w:hAnsi="Arial"/>
          <w:b/>
          <w:bCs/>
          <w:color w:val="1B3A5C"/>
          <w:sz w:val="26"/>
          <w:szCs w:val="26"/>
        </w:rPr>
        <w:t xml:space="preserve">5.2 Extended Containment (Long-Term)</w:t>
      </w:r>
    </w:p>
    <w:p>
      <w:pPr>
        <w:pStyle w:val="ListParagraph"/>
        <w:numPr>
          <w:ilvl w:val="0"/>
          <w:numId w:val="1"/>
        </w:numPr>
        <w:spacing w:after="60"/>
      </w:pPr>
      <w:r>
        <w:rPr>
          <w:rFonts w:ascii="Arial" w:cs="Arial" w:eastAsia="Arial" w:hAnsi="Arial"/>
          <w:sz w:val="22"/>
          <w:szCs w:val="22"/>
        </w:rPr>
        <w:t xml:space="preserve">Temporary System Modifications: Implementation of additional monitoring, access restrictions, or configuration changes to prevent recurrence while permanent remediation is developed.</w:t>
      </w:r>
    </w:p>
    <w:p>
      <w:pPr>
        <w:pStyle w:val="ListParagraph"/>
        <w:numPr>
          <w:ilvl w:val="0"/>
          <w:numId w:val="1"/>
        </w:numPr>
        <w:spacing w:after="60"/>
      </w:pPr>
      <w:r>
        <w:rPr>
          <w:rFonts w:ascii="Arial" w:cs="Arial" w:eastAsia="Arial" w:hAnsi="Arial"/>
          <w:sz w:val="22"/>
          <w:szCs w:val="22"/>
        </w:rPr>
        <w:t xml:space="preserve">Enhanced Logging: Activation of verbose logging on affected and adjacent systems to capture additional forensic evidence.</w:t>
      </w:r>
    </w:p>
    <w:p>
      <w:pPr>
        <w:pStyle w:val="ListParagraph"/>
        <w:numPr>
          <w:ilvl w:val="0"/>
          <w:numId w:val="1"/>
        </w:numPr>
        <w:spacing w:after="60"/>
      </w:pPr>
      <w:r>
        <w:rPr>
          <w:rFonts w:ascii="Arial" w:cs="Arial" w:eastAsia="Arial" w:hAnsi="Arial"/>
          <w:sz w:val="22"/>
          <w:szCs w:val="22"/>
        </w:rPr>
        <w:t xml:space="preserve">Access Review: Emergency review of all access permissions for affected systems, including RBAC role assignments and RLS policy configurations.</w:t>
      </w:r>
    </w:p>
    <w:p>
      <w:pPr>
        <w:pStyle w:val="ListParagraph"/>
        <w:numPr>
          <w:ilvl w:val="0"/>
          <w:numId w:val="1"/>
        </w:numPr>
        <w:spacing w:after="60"/>
      </w:pPr>
      <w:r>
        <w:rPr>
          <w:rFonts w:ascii="Arial" w:cs="Arial" w:eastAsia="Arial" w:hAnsi="Arial"/>
          <w:sz w:val="22"/>
          <w:szCs w:val="22"/>
        </w:rPr>
        <w:t xml:space="preserve">Communication Channel Security: Verification of all outbound communication channels (EDE API, EDI, email) to ensure no unauthorized data exfiltration.</w:t>
      </w:r>
    </w:p>
    <w:p>
      <w:pPr>
        <w:pStyle w:val="Heading1"/>
        <w:spacing w:after="120" w:before="300"/>
      </w:pPr>
      <w:r>
        <w:rPr>
          <w:rFonts w:ascii="Arial" w:cs="Arial" w:eastAsia="Arial" w:hAnsi="Arial"/>
          <w:b/>
          <w:bCs/>
          <w:color w:val="1B3A5C"/>
          <w:sz w:val="32"/>
          <w:szCs w:val="32"/>
        </w:rPr>
        <w:t xml:space="preserve">6. Eradication</w:t>
      </w:r>
    </w:p>
    <w:p>
      <w:pPr>
        <w:spacing w:after="120"/>
        <w:jc w:val="both"/>
      </w:pPr>
      <w:r>
        <w:rPr>
          <w:rFonts w:ascii="Arial" w:cs="Arial" w:eastAsia="Arial" w:hAnsi="Arial"/>
          <w:b w:val="false"/>
          <w:bCs w:val="false"/>
          <w:i w:val="false"/>
          <w:iCs w:val="false"/>
          <w:sz w:val="22"/>
          <w:szCs w:val="22"/>
        </w:rPr>
        <w:t xml:space="preserve">Eradication activities focus on eliminating the root cause of the incident and removing any artifacts left by the attacker:</w:t>
      </w:r>
    </w:p>
    <w:p>
      <w:pPr>
        <w:pStyle w:val="Heading2"/>
        <w:spacing w:after="120" w:before="300"/>
      </w:pPr>
      <w:r>
        <w:rPr>
          <w:rFonts w:ascii="Arial" w:cs="Arial" w:eastAsia="Arial" w:hAnsi="Arial"/>
          <w:b/>
          <w:bCs/>
          <w:color w:val="1B3A5C"/>
          <w:sz w:val="26"/>
          <w:szCs w:val="26"/>
        </w:rPr>
        <w:t xml:space="preserve">6.1 Root Cause Analysis</w:t>
      </w:r>
    </w:p>
    <w:p>
      <w:pPr>
        <w:pStyle w:val="ListParagraph"/>
        <w:numPr>
          <w:ilvl w:val="0"/>
          <w:numId w:val="1"/>
        </w:numPr>
        <w:spacing w:after="60"/>
      </w:pPr>
      <w:r>
        <w:rPr>
          <w:rFonts w:ascii="Arial" w:cs="Arial" w:eastAsia="Arial" w:hAnsi="Arial"/>
          <w:sz w:val="22"/>
          <w:szCs w:val="22"/>
        </w:rPr>
        <w:t xml:space="preserve">Forensic Analysis: Detailed examination of system logs, network captures, and file system artifacts to determine the attack vector, entry point, and extent of compromise.</w:t>
      </w:r>
    </w:p>
    <w:p>
      <w:pPr>
        <w:pStyle w:val="ListParagraph"/>
        <w:numPr>
          <w:ilvl w:val="0"/>
          <w:numId w:val="1"/>
        </w:numPr>
        <w:spacing w:after="60"/>
      </w:pPr>
      <w:r>
        <w:rPr>
          <w:rFonts w:ascii="Arial" w:cs="Arial" w:eastAsia="Arial" w:hAnsi="Arial"/>
          <w:sz w:val="22"/>
          <w:szCs w:val="22"/>
        </w:rPr>
        <w:t xml:space="preserve">Timeline Reconstruction: Construction of a complete timeline from initial compromise through detection, using correlated log data from multiple sources.</w:t>
      </w:r>
    </w:p>
    <w:p>
      <w:pPr>
        <w:pStyle w:val="ListParagraph"/>
        <w:numPr>
          <w:ilvl w:val="0"/>
          <w:numId w:val="1"/>
        </w:numPr>
        <w:spacing w:after="60"/>
      </w:pPr>
      <w:r>
        <w:rPr>
          <w:rFonts w:ascii="Arial" w:cs="Arial" w:eastAsia="Arial" w:hAnsi="Arial"/>
          <w:sz w:val="22"/>
          <w:szCs w:val="22"/>
        </w:rPr>
        <w:t xml:space="preserve">Attack Vector Identification: Determination of the specific vulnerability, misconfiguration, or social engineering technique used to achieve initial access.</w:t>
      </w:r>
    </w:p>
    <w:p>
      <w:pPr>
        <w:pStyle w:val="Heading2"/>
        <w:spacing w:after="120" w:before="300"/>
      </w:pPr>
      <w:r>
        <w:rPr>
          <w:rFonts w:ascii="Arial" w:cs="Arial" w:eastAsia="Arial" w:hAnsi="Arial"/>
          <w:b/>
          <w:bCs/>
          <w:color w:val="1B3A5C"/>
          <w:sz w:val="26"/>
          <w:szCs w:val="26"/>
        </w:rPr>
        <w:t xml:space="preserve">6.2 Remediation Actions</w:t>
      </w:r>
    </w:p>
    <w:p>
      <w:pPr>
        <w:pStyle w:val="ListParagraph"/>
        <w:numPr>
          <w:ilvl w:val="0"/>
          <w:numId w:val="1"/>
        </w:numPr>
        <w:spacing w:after="60"/>
      </w:pPr>
      <w:r>
        <w:rPr>
          <w:rFonts w:ascii="Arial" w:cs="Arial" w:eastAsia="Arial" w:hAnsi="Arial"/>
          <w:sz w:val="22"/>
          <w:szCs w:val="22"/>
        </w:rPr>
        <w:t xml:space="preserve">Patch Deployment: Emergency deployment of security patches for identified vulnerabilities, following expedited change management procedures.</w:t>
      </w:r>
    </w:p>
    <w:p>
      <w:pPr>
        <w:pStyle w:val="ListParagraph"/>
        <w:numPr>
          <w:ilvl w:val="0"/>
          <w:numId w:val="1"/>
        </w:numPr>
        <w:spacing w:after="60"/>
      </w:pPr>
      <w:r>
        <w:rPr>
          <w:rFonts w:ascii="Arial" w:cs="Arial" w:eastAsia="Arial" w:hAnsi="Arial"/>
          <w:sz w:val="22"/>
          <w:szCs w:val="22"/>
        </w:rPr>
        <w:t xml:space="preserve">Configuration Hardening: Review and hardening of system configurations, including database security settings, network ACLs, and application security parameters.</w:t>
      </w:r>
    </w:p>
    <w:p>
      <w:pPr>
        <w:pStyle w:val="ListParagraph"/>
        <w:numPr>
          <w:ilvl w:val="0"/>
          <w:numId w:val="1"/>
        </w:numPr>
        <w:spacing w:after="60"/>
      </w:pPr>
      <w:r>
        <w:rPr>
          <w:rFonts w:ascii="Arial" w:cs="Arial" w:eastAsia="Arial" w:hAnsi="Arial"/>
          <w:sz w:val="22"/>
          <w:szCs w:val="22"/>
        </w:rPr>
        <w:t xml:space="preserve">Malware Removal: Complete removal of any malicious code, backdoors, or unauthorized modifications to system files and configurations.</w:t>
      </w:r>
    </w:p>
    <w:p>
      <w:pPr>
        <w:pStyle w:val="ListParagraph"/>
        <w:numPr>
          <w:ilvl w:val="0"/>
          <w:numId w:val="1"/>
        </w:numPr>
        <w:spacing w:after="60"/>
      </w:pPr>
      <w:r>
        <w:rPr>
          <w:rFonts w:ascii="Arial" w:cs="Arial" w:eastAsia="Arial" w:hAnsi="Arial"/>
          <w:sz w:val="22"/>
          <w:szCs w:val="22"/>
        </w:rPr>
        <w:t xml:space="preserve">Credential Reset: Forced password reset for all potentially affected accounts, including service accounts and API credentials.</w:t>
      </w:r>
    </w:p>
    <w:p>
      <w:pPr>
        <w:pStyle w:val="ListParagraph"/>
        <w:numPr>
          <w:ilvl w:val="0"/>
          <w:numId w:val="1"/>
        </w:numPr>
        <w:spacing w:after="60"/>
      </w:pPr>
      <w:r>
        <w:rPr>
          <w:rFonts w:ascii="Arial" w:cs="Arial" w:eastAsia="Arial" w:hAnsi="Arial"/>
          <w:sz w:val="22"/>
          <w:szCs w:val="22"/>
        </w:rPr>
        <w:t xml:space="preserve">Dependency Update: Review and update of all application dependencies if the incident involved exploitation of a third-party library vulnerability.</w:t>
      </w:r>
    </w:p>
    <w:p>
      <w:pPr>
        <w:pStyle w:val="Heading1"/>
        <w:spacing w:after="120" w:before="300"/>
      </w:pPr>
      <w:r>
        <w:rPr>
          <w:rFonts w:ascii="Arial" w:cs="Arial" w:eastAsia="Arial" w:hAnsi="Arial"/>
          <w:b/>
          <w:bCs/>
          <w:color w:val="1B3A5C"/>
          <w:sz w:val="32"/>
          <w:szCs w:val="32"/>
        </w:rPr>
        <w:t xml:space="preserve">7. Recovery</w:t>
      </w:r>
    </w:p>
    <w:p>
      <w:pPr>
        <w:spacing w:after="120"/>
        <w:jc w:val="both"/>
      </w:pPr>
      <w:r>
        <w:rPr>
          <w:rFonts w:ascii="Arial" w:cs="Arial" w:eastAsia="Arial" w:hAnsi="Arial"/>
          <w:b w:val="false"/>
          <w:bCs w:val="false"/>
          <w:i w:val="false"/>
          <w:iCs w:val="false"/>
          <w:sz w:val="22"/>
          <w:szCs w:val="22"/>
        </w:rPr>
        <w:t xml:space="preserve">Recovery activities restore affected systems to full operational status while ensuring that the incident has been fully resolved:</w:t>
      </w:r>
    </w:p>
    <w:p>
      <w:pPr>
        <w:pStyle w:val="Heading2"/>
        <w:spacing w:after="120" w:before="300"/>
      </w:pPr>
      <w:r>
        <w:rPr>
          <w:rFonts w:ascii="Arial" w:cs="Arial" w:eastAsia="Arial" w:hAnsi="Arial"/>
          <w:b/>
          <w:bCs/>
          <w:color w:val="1B3A5C"/>
          <w:sz w:val="26"/>
          <w:szCs w:val="26"/>
        </w:rPr>
        <w:t xml:space="preserve">7.1 Service Restoration</w:t>
      </w:r>
    </w:p>
    <w:p>
      <w:pPr>
        <w:pStyle w:val="ListParagraph"/>
        <w:numPr>
          <w:ilvl w:val="0"/>
          <w:numId w:val="1"/>
        </w:numPr>
        <w:spacing w:after="60"/>
      </w:pPr>
      <w:r>
        <w:rPr>
          <w:rFonts w:ascii="Arial" w:cs="Arial" w:eastAsia="Arial" w:hAnsi="Arial"/>
          <w:sz w:val="22"/>
          <w:szCs w:val="22"/>
        </w:rPr>
        <w:t xml:space="preserve">Phased Restoration: Systems are restored in priority order, starting with core enrollment processing, followed by broker portal access, then ancillary services.</w:t>
      </w:r>
    </w:p>
    <w:p>
      <w:pPr>
        <w:pStyle w:val="ListParagraph"/>
        <w:numPr>
          <w:ilvl w:val="0"/>
          <w:numId w:val="1"/>
        </w:numPr>
        <w:spacing w:after="60"/>
      </w:pPr>
      <w:r>
        <w:rPr>
          <w:rFonts w:ascii="Arial" w:cs="Arial" w:eastAsia="Arial" w:hAnsi="Arial"/>
          <w:sz w:val="22"/>
          <w:szCs w:val="22"/>
        </w:rPr>
        <w:t xml:space="preserve">Clean Build Verification: Restored systems are verified against known-good baselines to ensure no persistent compromise.</w:t>
      </w:r>
    </w:p>
    <w:p>
      <w:pPr>
        <w:pStyle w:val="ListParagraph"/>
        <w:numPr>
          <w:ilvl w:val="0"/>
          <w:numId w:val="1"/>
        </w:numPr>
        <w:spacing w:after="60"/>
      </w:pPr>
      <w:r>
        <w:rPr>
          <w:rFonts w:ascii="Arial" w:cs="Arial" w:eastAsia="Arial" w:hAnsi="Arial"/>
          <w:sz w:val="22"/>
          <w:szCs w:val="22"/>
        </w:rPr>
        <w:t xml:space="preserve">Functional Testing: Complete functional testing of restored systems, including EDE API connectivity, EDI processing, and user authentication flows.</w:t>
      </w:r>
    </w:p>
    <w:p>
      <w:pPr>
        <w:pStyle w:val="Heading2"/>
        <w:spacing w:after="120" w:before="300"/>
      </w:pPr>
      <w:r>
        <w:rPr>
          <w:rFonts w:ascii="Arial" w:cs="Arial" w:eastAsia="Arial" w:hAnsi="Arial"/>
          <w:b/>
          <w:bCs/>
          <w:color w:val="1B3A5C"/>
          <w:sz w:val="26"/>
          <w:szCs w:val="26"/>
        </w:rPr>
        <w:t xml:space="preserve">7.2 Data Integrity Verification</w:t>
      </w:r>
    </w:p>
    <w:p>
      <w:pPr>
        <w:pStyle w:val="ListParagraph"/>
        <w:numPr>
          <w:ilvl w:val="0"/>
          <w:numId w:val="1"/>
        </w:numPr>
        <w:spacing w:after="60"/>
      </w:pPr>
      <w:r>
        <w:rPr>
          <w:rFonts w:ascii="Arial" w:cs="Arial" w:eastAsia="Arial" w:hAnsi="Arial"/>
          <w:sz w:val="22"/>
          <w:szCs w:val="22"/>
        </w:rPr>
        <w:t xml:space="preserve">Database Integrity Checks: Verification that database records have not been tampered with, using audit log cross-referencing and integrity checksums.</w:t>
      </w:r>
    </w:p>
    <w:p>
      <w:pPr>
        <w:pStyle w:val="ListParagraph"/>
        <w:numPr>
          <w:ilvl w:val="0"/>
          <w:numId w:val="1"/>
        </w:numPr>
        <w:spacing w:after="60"/>
      </w:pPr>
      <w:r>
        <w:rPr>
          <w:rFonts w:ascii="Arial" w:cs="Arial" w:eastAsia="Arial" w:hAnsi="Arial"/>
          <w:sz w:val="22"/>
          <w:szCs w:val="22"/>
        </w:rPr>
        <w:t xml:space="preserve">Backup Verification: Confirmation that backup systems are clean and available for restoration if needed.</w:t>
      </w:r>
    </w:p>
    <w:p>
      <w:pPr>
        <w:pStyle w:val="ListParagraph"/>
        <w:numPr>
          <w:ilvl w:val="0"/>
          <w:numId w:val="1"/>
        </w:numPr>
        <w:spacing w:after="60"/>
      </w:pPr>
      <w:r>
        <w:rPr>
          <w:rFonts w:ascii="Arial" w:cs="Arial" w:eastAsia="Arial" w:hAnsi="Arial"/>
          <w:sz w:val="22"/>
          <w:szCs w:val="22"/>
        </w:rPr>
        <w:t xml:space="preserve">Enrollment Data Reconciliation: Verification of enrollment records against CMS data to identify any unauthorized modifications.</w:t>
      </w:r>
    </w:p>
    <w:p>
      <w:pPr>
        <w:pStyle w:val="Heading2"/>
        <w:spacing w:after="120" w:before="300"/>
      </w:pPr>
      <w:r>
        <w:rPr>
          <w:rFonts w:ascii="Arial" w:cs="Arial" w:eastAsia="Arial" w:hAnsi="Arial"/>
          <w:b/>
          <w:bCs/>
          <w:color w:val="1B3A5C"/>
          <w:sz w:val="26"/>
          <w:szCs w:val="26"/>
        </w:rPr>
        <w:t xml:space="preserve">7.3 Monitoring Enhancement</w:t>
      </w:r>
    </w:p>
    <w:p>
      <w:pPr>
        <w:pStyle w:val="ListParagraph"/>
        <w:numPr>
          <w:ilvl w:val="0"/>
          <w:numId w:val="1"/>
        </w:numPr>
        <w:spacing w:after="60"/>
      </w:pPr>
      <w:r>
        <w:rPr>
          <w:rFonts w:ascii="Arial" w:cs="Arial" w:eastAsia="Arial" w:hAnsi="Arial"/>
          <w:sz w:val="22"/>
          <w:szCs w:val="22"/>
        </w:rPr>
        <w:t xml:space="preserve">Increased Monitoring: Enhanced monitoring of recovered systems for a minimum of 30 days following incident closure.</w:t>
      </w:r>
    </w:p>
    <w:p>
      <w:pPr>
        <w:pStyle w:val="ListParagraph"/>
        <w:numPr>
          <w:ilvl w:val="0"/>
          <w:numId w:val="1"/>
        </w:numPr>
        <w:spacing w:after="60"/>
      </w:pPr>
      <w:r>
        <w:rPr>
          <w:rFonts w:ascii="Arial" w:cs="Arial" w:eastAsia="Arial" w:hAnsi="Arial"/>
          <w:sz w:val="22"/>
          <w:szCs w:val="22"/>
        </w:rPr>
        <w:t xml:space="preserve">Alert Threshold Adjustment: Temporary reduction of alert thresholds on affected systems to catch any residual or recurring activity.</w:t>
      </w:r>
    </w:p>
    <w:p>
      <w:pPr>
        <w:pStyle w:val="ListParagraph"/>
        <w:numPr>
          <w:ilvl w:val="0"/>
          <w:numId w:val="1"/>
        </w:numPr>
        <w:spacing w:after="60"/>
      </w:pPr>
      <w:r>
        <w:rPr>
          <w:rFonts w:ascii="Arial" w:cs="Arial" w:eastAsia="Arial" w:hAnsi="Arial"/>
          <w:sz w:val="22"/>
          <w:szCs w:val="22"/>
        </w:rPr>
        <w:t xml:space="preserve">Threat Hunting: Proactive threat hunting activities focused on indicators related to the resolved incident.</w:t>
      </w:r>
    </w:p>
    <w:p>
      <w:pPr>
        <w:pStyle w:val="Heading1"/>
        <w:spacing w:after="120" w:before="300"/>
      </w:pPr>
      <w:r>
        <w:rPr>
          <w:rFonts w:ascii="Arial" w:cs="Arial" w:eastAsia="Arial" w:hAnsi="Arial"/>
          <w:b/>
          <w:bCs/>
          <w:color w:val="1B3A5C"/>
          <w:sz w:val="32"/>
          <w:szCs w:val="32"/>
        </w:rPr>
        <w:t xml:space="preserve">8. Notification Requirements</w:t>
      </w:r>
    </w:p>
    <w:p>
      <w:pPr>
        <w:spacing w:after="120"/>
        <w:jc w:val="both"/>
      </w:pPr>
      <w:r>
        <w:rPr>
          <w:rFonts w:ascii="Arial" w:cs="Arial" w:eastAsia="Arial" w:hAnsi="Arial"/>
          <w:b w:val="false"/>
          <w:bCs w:val="false"/>
          <w:i w:val="false"/>
          <w:iCs w:val="false"/>
          <w:sz w:val="22"/>
          <w:szCs w:val="22"/>
        </w:rPr>
        <w:t>HPS AgentLink is subject to multiple notification requirements based on the nature and scope of a security incident:</w:t>
      </w:r>
    </w:p>
    <w:p>
      <w:pPr>
        <w:pStyle w:val="Heading2"/>
        <w:spacing w:after="120" w:before="300"/>
      </w:pPr>
      <w:r>
        <w:rPr>
          <w:rFonts w:ascii="Arial" w:cs="Arial" w:eastAsia="Arial" w:hAnsi="Arial"/>
          <w:b/>
          <w:bCs/>
          <w:color w:val="1B3A5C"/>
          <w:sz w:val="26"/>
          <w:szCs w:val="26"/>
        </w:rPr>
        <w:t xml:space="preserve">8.1 CMS Notification</w:t>
      </w:r>
    </w:p>
    <w:p>
      <w:pPr>
        <w:spacing w:after="120"/>
        <w:jc w:val="both"/>
      </w:pPr>
      <w:r>
        <w:rPr>
          <w:rFonts w:ascii="Arial" w:cs="Arial" w:eastAsia="Arial" w:hAnsi="Arial"/>
          <w:b w:val="false"/>
          <w:bCs w:val="false"/>
          <w:i w:val="false"/>
          <w:iCs w:val="false"/>
          <w:sz w:val="22"/>
          <w:szCs w:val="22"/>
        </w:rPr>
        <w:t xml:space="preserve">CMS ISSO Notification: Within 1 hour of confirmed P1 incident classification. The CMS Liaison is responsible for initial notification via the designated CMS security incident reporting channel. Follow-up written reports are submitted within 24 hours with detailed incident information.</w:t>
      </w:r>
    </w:p>
    <w:p>
      <w:pPr>
        <w:pStyle w:val="Heading2"/>
        <w:spacing w:after="120" w:before="300"/>
      </w:pPr>
      <w:r>
        <w:rPr>
          <w:rFonts w:ascii="Arial" w:cs="Arial" w:eastAsia="Arial" w:hAnsi="Arial"/>
          <w:b/>
          <w:bCs/>
          <w:color w:val="1B3A5C"/>
          <w:sz w:val="26"/>
          <w:szCs w:val="26"/>
        </w:rPr>
        <w:t xml:space="preserve">8.2 HHS/OCR Breach Notification</w:t>
      </w:r>
    </w:p>
    <w:p>
      <w:pPr>
        <w:spacing w:after="120"/>
        <w:jc w:val="both"/>
      </w:pPr>
      <w:r>
        <w:rPr>
          <w:rFonts w:ascii="Arial" w:cs="Arial" w:eastAsia="Arial" w:hAnsi="Arial"/>
          <w:b w:val="false"/>
          <w:bCs w:val="false"/>
          <w:i w:val="false"/>
          <w:iCs w:val="false"/>
          <w:sz w:val="22"/>
          <w:szCs w:val="22"/>
        </w:rPr>
        <w:t>Per 45 CFR 164.408 (HIPAA Breach Notification Rule), HPS AgentLink shall notify the HHS Secretary of breaches of unsecured PHI:</w:t>
      </w:r>
    </w:p>
    <w:p>
      <w:pPr>
        <w:pStyle w:val="ListParagraph"/>
        <w:numPr>
          <w:ilvl w:val="0"/>
          <w:numId w:val="1"/>
        </w:numPr>
        <w:spacing w:after="60"/>
      </w:pPr>
      <w:r>
        <w:rPr>
          <w:rFonts w:ascii="Arial" w:cs="Arial" w:eastAsia="Arial" w:hAnsi="Arial"/>
          <w:sz w:val="22"/>
          <w:szCs w:val="22"/>
        </w:rPr>
        <w:t xml:space="preserve">Breaches affecting 500 or more individuals: Notification to HHS within 60 calendar days of discovery. Notification to prominent media outlets serving the affected state or jurisdiction.</w:t>
      </w:r>
    </w:p>
    <w:p>
      <w:pPr>
        <w:pStyle w:val="ListParagraph"/>
        <w:numPr>
          <w:ilvl w:val="0"/>
          <w:numId w:val="1"/>
        </w:numPr>
        <w:spacing w:after="60"/>
      </w:pPr>
      <w:r>
        <w:rPr>
          <w:rFonts w:ascii="Arial" w:cs="Arial" w:eastAsia="Arial" w:hAnsi="Arial"/>
          <w:sz w:val="22"/>
          <w:szCs w:val="22"/>
        </w:rPr>
        <w:t xml:space="preserve">Breaches affecting fewer than 500 individuals: Notification to HHS within 60 calendar days of the end of the calendar year in which the breach was discovered.</w:t>
      </w:r>
    </w:p>
    <w:p>
      <w:pPr>
        <w:pStyle w:val="Heading2"/>
        <w:spacing w:after="120" w:before="300"/>
      </w:pPr>
      <w:r>
        <w:rPr>
          <w:rFonts w:ascii="Arial" w:cs="Arial" w:eastAsia="Arial" w:hAnsi="Arial"/>
          <w:b/>
          <w:bCs/>
          <w:color w:val="1B3A5C"/>
          <w:sz w:val="26"/>
          <w:szCs w:val="26"/>
        </w:rPr>
        <w:t xml:space="preserve">8.3 Individual Notification</w:t>
      </w:r>
    </w:p>
    <w:p>
      <w:pPr>
        <w:spacing w:after="120"/>
        <w:jc w:val="both"/>
      </w:pPr>
      <w:r>
        <w:rPr>
          <w:rFonts w:ascii="Arial" w:cs="Arial" w:eastAsia="Arial" w:hAnsi="Arial"/>
          <w:b w:val="false"/>
          <w:bCs w:val="false"/>
          <w:i w:val="false"/>
          <w:iCs w:val="false"/>
          <w:sz w:val="22"/>
          <w:szCs w:val="22"/>
        </w:rPr>
        <w:t xml:space="preserve">Per 45 CFR 164.404, affected individuals shall be notified without unreasonable delay and no later than 60 calendar days after discovery of the breach. Notification shall be provided in writing (first-class mail) and shall include:</w:t>
      </w:r>
    </w:p>
    <w:p>
      <w:pPr>
        <w:pStyle w:val="ListParagraph"/>
        <w:numPr>
          <w:ilvl w:val="0"/>
          <w:numId w:val="1"/>
        </w:numPr>
        <w:spacing w:after="60"/>
      </w:pPr>
      <w:r>
        <w:rPr>
          <w:rFonts w:ascii="Arial" w:cs="Arial" w:eastAsia="Arial" w:hAnsi="Arial"/>
          <w:sz w:val="22"/>
          <w:szCs w:val="22"/>
        </w:rPr>
        <w:t xml:space="preserve">A brief description of the incident, including the date of the breach and the date of discovery.</w:t>
      </w:r>
    </w:p>
    <w:p>
      <w:pPr>
        <w:pStyle w:val="ListParagraph"/>
        <w:numPr>
          <w:ilvl w:val="0"/>
          <w:numId w:val="1"/>
        </w:numPr>
        <w:spacing w:after="60"/>
      </w:pPr>
      <w:r>
        <w:rPr>
          <w:rFonts w:ascii="Arial" w:cs="Arial" w:eastAsia="Arial" w:hAnsi="Arial"/>
          <w:sz w:val="22"/>
          <w:szCs w:val="22"/>
        </w:rPr>
        <w:t xml:space="preserve">A description of the types of unsecured PHI involved in the breach.</w:t>
      </w:r>
    </w:p>
    <w:p>
      <w:pPr>
        <w:pStyle w:val="ListParagraph"/>
        <w:numPr>
          <w:ilvl w:val="0"/>
          <w:numId w:val="1"/>
        </w:numPr>
        <w:spacing w:after="60"/>
      </w:pPr>
      <w:r>
        <w:rPr>
          <w:rFonts w:ascii="Arial" w:cs="Arial" w:eastAsia="Arial" w:hAnsi="Arial"/>
          <w:sz w:val="22"/>
          <w:szCs w:val="22"/>
        </w:rPr>
        <w:t xml:space="preserve">Steps individuals should take to protect themselves from potential harm.</w:t>
      </w:r>
    </w:p>
    <w:p>
      <w:pPr>
        <w:pStyle w:val="ListParagraph"/>
        <w:numPr>
          <w:ilvl w:val="0"/>
          <w:numId w:val="1"/>
        </w:numPr>
        <w:spacing w:after="60"/>
      </w:pPr>
      <w:r>
        <w:rPr>
          <w:rFonts w:ascii="Arial" w:cs="Arial" w:eastAsia="Arial" w:hAnsi="Arial"/>
          <w:sz w:val="22"/>
          <w:szCs w:val="22"/>
        </w:rPr>
        <w:t>A description of what HPS AgentLink is doing to investigate, mitigate harm, and prevent future breaches.</w:t>
      </w:r>
    </w:p>
    <w:p>
      <w:pPr>
        <w:pStyle w:val="ListParagraph"/>
        <w:numPr>
          <w:ilvl w:val="0"/>
          <w:numId w:val="1"/>
        </w:numPr>
        <w:spacing w:after="60"/>
      </w:pPr>
      <w:r>
        <w:rPr>
          <w:rFonts w:ascii="Arial" w:cs="Arial" w:eastAsia="Arial" w:hAnsi="Arial"/>
          <w:sz w:val="22"/>
          <w:szCs w:val="22"/>
        </w:rPr>
        <w:t xml:space="preserve">Contact information for individuals to ask questions, including a toll-free telephone number, email address, website, and postal address.</w:t>
      </w:r>
    </w:p>
    <w:p>
      <w:pPr>
        <w:pStyle w:val="Heading2"/>
        <w:spacing w:after="120" w:before="300"/>
      </w:pPr>
      <w:r>
        <w:rPr>
          <w:rFonts w:ascii="Arial" w:cs="Arial" w:eastAsia="Arial" w:hAnsi="Arial"/>
          <w:b/>
          <w:bCs/>
          <w:color w:val="1B3A5C"/>
          <w:sz w:val="26"/>
          <w:szCs w:val="26"/>
        </w:rPr>
        <w:t xml:space="preserve">8.4 IRS/FTI Notification</w:t>
      </w:r>
    </w:p>
    <w:p>
      <w:pPr>
        <w:spacing w:after="120"/>
        <w:jc w:val="both"/>
      </w:pPr>
      <w:r>
        <w:rPr>
          <w:rFonts w:ascii="Arial" w:cs="Arial" w:eastAsia="Arial" w:hAnsi="Arial"/>
          <w:b w:val="false"/>
          <w:bCs w:val="false"/>
          <w:i w:val="false"/>
          <w:iCs w:val="false"/>
          <w:sz w:val="22"/>
          <w:szCs w:val="22"/>
        </w:rPr>
        <w:t xml:space="preserve">If Federal Tax Information is involved in the incident, additional notification to the IRS Office of Safeguards is required per IRS Publication 1075, Section 10. Notification must be made within 24 hours of discovery via the designated IRS incident reporting procedures.</w:t>
      </w:r>
    </w:p>
    <w:p>
      <w:pPr>
        <w:pStyle w:val="Heading2"/>
        <w:spacing w:after="120" w:before="300"/>
      </w:pPr>
      <w:r>
        <w:rPr>
          <w:rFonts w:ascii="Arial" w:cs="Arial" w:eastAsia="Arial" w:hAnsi="Arial"/>
          <w:b/>
          <w:bCs/>
          <w:color w:val="1B3A5C"/>
          <w:sz w:val="26"/>
          <w:szCs w:val="26"/>
        </w:rPr>
        <w:t xml:space="preserve">8.5 State Notification</w:t>
      </w:r>
    </w:p>
    <w:p>
      <w:pPr>
        <w:spacing w:after="120"/>
        <w:jc w:val="both"/>
      </w:pPr>
      <w:r>
        <w:rPr>
          <w:rFonts w:ascii="Arial" w:cs="Arial" w:eastAsia="Arial" w:hAnsi="Arial"/>
          <w:b w:val="false"/>
          <w:bCs w:val="false"/>
          <w:i w:val="false"/>
          <w:iCs w:val="false"/>
          <w:sz w:val="22"/>
          <w:szCs w:val="22"/>
        </w:rPr>
        <w:t>In addition to federal requirements, HPS AgentLink shall comply with applicable state breach notification laws for all states in which affected consumers reside. State notification timelines and requirements vary and are maintained in the legal compliance reference guide.</w:t>
      </w:r>
    </w:p>
    <w:p>
      <w:pPr>
        <w:pStyle w:val="Heading1"/>
        <w:spacing w:after="120" w:before="300"/>
      </w:pPr>
      <w:r>
        <w:rPr>
          <w:rFonts w:ascii="Arial" w:cs="Arial" w:eastAsia="Arial" w:hAnsi="Arial"/>
          <w:b/>
          <w:bCs/>
          <w:color w:val="1B3A5C"/>
          <w:sz w:val="32"/>
          <w:szCs w:val="32"/>
        </w:rPr>
        <w:t xml:space="preserve">9. Post-Incident Activities</w:t>
      </w:r>
    </w:p>
    <w:p>
      <w:pPr>
        <w:pStyle w:val="Heading2"/>
        <w:spacing w:after="120" w:before="300"/>
      </w:pPr>
      <w:r>
        <w:rPr>
          <w:rFonts w:ascii="Arial" w:cs="Arial" w:eastAsia="Arial" w:hAnsi="Arial"/>
          <w:b/>
          <w:bCs/>
          <w:color w:val="1B3A5C"/>
          <w:sz w:val="26"/>
          <w:szCs w:val="26"/>
        </w:rPr>
        <w:t xml:space="preserve">9.1 Lessons Learned</w:t>
      </w:r>
    </w:p>
    <w:p>
      <w:pPr>
        <w:spacing w:after="120"/>
        <w:jc w:val="both"/>
      </w:pPr>
      <w:r>
        <w:rPr>
          <w:rFonts w:ascii="Arial" w:cs="Arial" w:eastAsia="Arial" w:hAnsi="Arial"/>
          <w:b w:val="false"/>
          <w:bCs w:val="false"/>
          <w:i w:val="false"/>
          <w:iCs w:val="false"/>
          <w:sz w:val="22"/>
          <w:szCs w:val="22"/>
        </w:rPr>
        <w:t xml:space="preserve">A formal post-incident review meeting is conducted within 5 business days of incident closure. The review includes all IRT members who participated in the response and addresses:</w:t>
      </w:r>
    </w:p>
    <w:p>
      <w:pPr>
        <w:pStyle w:val="ListParagraph"/>
        <w:numPr>
          <w:ilvl w:val="0"/>
          <w:numId w:val="1"/>
        </w:numPr>
        <w:spacing w:after="60"/>
      </w:pPr>
      <w:r>
        <w:rPr>
          <w:rFonts w:ascii="Arial" w:cs="Arial" w:eastAsia="Arial" w:hAnsi="Arial"/>
          <w:sz w:val="22"/>
          <w:szCs w:val="22"/>
        </w:rPr>
        <w:t xml:space="preserve">Root cause analysis findings and confirmation of eradication effectiveness.</w:t>
      </w:r>
    </w:p>
    <w:p>
      <w:pPr>
        <w:pStyle w:val="ListParagraph"/>
        <w:numPr>
          <w:ilvl w:val="0"/>
          <w:numId w:val="1"/>
        </w:numPr>
        <w:spacing w:after="60"/>
      </w:pPr>
      <w:r>
        <w:rPr>
          <w:rFonts w:ascii="Arial" w:cs="Arial" w:eastAsia="Arial" w:hAnsi="Arial"/>
          <w:sz w:val="22"/>
          <w:szCs w:val="22"/>
        </w:rPr>
        <w:t xml:space="preserve">Timeline review: Was the incident detected promptly? Were response times within SLA?</w:t>
      </w:r>
    </w:p>
    <w:p>
      <w:pPr>
        <w:pStyle w:val="ListParagraph"/>
        <w:numPr>
          <w:ilvl w:val="0"/>
          <w:numId w:val="1"/>
        </w:numPr>
        <w:spacing w:after="60"/>
      </w:pPr>
      <w:r>
        <w:rPr>
          <w:rFonts w:ascii="Arial" w:cs="Arial" w:eastAsia="Arial" w:hAnsi="Arial"/>
          <w:sz w:val="22"/>
          <w:szCs w:val="22"/>
        </w:rPr>
        <w:t xml:space="preserve">Communication effectiveness: Were notifications timely and accurate?</w:t>
      </w:r>
    </w:p>
    <w:p>
      <w:pPr>
        <w:pStyle w:val="ListParagraph"/>
        <w:numPr>
          <w:ilvl w:val="0"/>
          <w:numId w:val="1"/>
        </w:numPr>
        <w:spacing w:after="60"/>
      </w:pPr>
      <w:r>
        <w:rPr>
          <w:rFonts w:ascii="Arial" w:cs="Arial" w:eastAsia="Arial" w:hAnsi="Arial"/>
          <w:sz w:val="22"/>
          <w:szCs w:val="22"/>
        </w:rPr>
        <w:t xml:space="preserve">Resource adequacy: Were tools, personnel, and processes sufficient?</w:t>
      </w:r>
    </w:p>
    <w:p>
      <w:pPr>
        <w:pStyle w:val="ListParagraph"/>
        <w:numPr>
          <w:ilvl w:val="0"/>
          <w:numId w:val="1"/>
        </w:numPr>
        <w:spacing w:after="60"/>
      </w:pPr>
      <w:r>
        <w:rPr>
          <w:rFonts w:ascii="Arial" w:cs="Arial" w:eastAsia="Arial" w:hAnsi="Arial"/>
          <w:sz w:val="22"/>
          <w:szCs w:val="22"/>
        </w:rPr>
        <w:t xml:space="preserve">Improvement recommendations with assigned owners and target completion dates.</w:t>
      </w:r>
    </w:p>
    <w:p>
      <w:pPr>
        <w:pStyle w:val="Heading2"/>
        <w:spacing w:after="120" w:before="300"/>
      </w:pPr>
      <w:r>
        <w:rPr>
          <w:rFonts w:ascii="Arial" w:cs="Arial" w:eastAsia="Arial" w:hAnsi="Arial"/>
          <w:b/>
          <w:bCs/>
          <w:color w:val="1B3A5C"/>
          <w:sz w:val="26"/>
          <w:szCs w:val="26"/>
        </w:rPr>
        <w:t xml:space="preserve">9.2 Control Updates</w:t>
      </w:r>
    </w:p>
    <w:p>
      <w:pPr>
        <w:pStyle w:val="ListParagraph"/>
        <w:numPr>
          <w:ilvl w:val="0"/>
          <w:numId w:val="1"/>
        </w:numPr>
        <w:spacing w:after="60"/>
      </w:pPr>
      <w:r>
        <w:rPr>
          <w:rFonts w:ascii="Arial" w:cs="Arial" w:eastAsia="Arial" w:hAnsi="Arial"/>
          <w:sz w:val="22"/>
          <w:szCs w:val="22"/>
        </w:rPr>
        <w:t xml:space="preserve">Security Policy Updates: Revision of security policies and procedures based on lessons learned.</w:t>
      </w:r>
    </w:p>
    <w:p>
      <w:pPr>
        <w:pStyle w:val="ListParagraph"/>
        <w:numPr>
          <w:ilvl w:val="0"/>
          <w:numId w:val="1"/>
        </w:numPr>
        <w:spacing w:after="60"/>
      </w:pPr>
      <w:r>
        <w:rPr>
          <w:rFonts w:ascii="Arial" w:cs="Arial" w:eastAsia="Arial" w:hAnsi="Arial"/>
          <w:sz w:val="22"/>
          <w:szCs w:val="22"/>
        </w:rPr>
        <w:t xml:space="preserve">Technical Control Enhancements: Implementation of additional or improved technical controls identified during the review.</w:t>
      </w:r>
    </w:p>
    <w:p>
      <w:pPr>
        <w:pStyle w:val="ListParagraph"/>
        <w:numPr>
          <w:ilvl w:val="0"/>
          <w:numId w:val="1"/>
        </w:numPr>
        <w:spacing w:after="60"/>
      </w:pPr>
      <w:r>
        <w:rPr>
          <w:rFonts w:ascii="Arial" w:cs="Arial" w:eastAsia="Arial" w:hAnsi="Arial"/>
          <w:sz w:val="22"/>
          <w:szCs w:val="22"/>
        </w:rPr>
        <w:t xml:space="preserve">Training Updates: Revision of security awareness training to address the incident type and prevention measures.</w:t>
      </w:r>
    </w:p>
    <w:p>
      <w:pPr>
        <w:pStyle w:val="ListParagraph"/>
        <w:numPr>
          <w:ilvl w:val="0"/>
          <w:numId w:val="1"/>
        </w:numPr>
        <w:spacing w:after="60"/>
      </w:pPr>
      <w:r>
        <w:rPr>
          <w:rFonts w:ascii="Arial" w:cs="Arial" w:eastAsia="Arial" w:hAnsi="Arial"/>
          <w:sz w:val="22"/>
          <w:szCs w:val="22"/>
        </w:rPr>
        <w:t xml:space="preserve">Detection Improvement: Enhancement of monitoring rules and alert configurations to improve future detection of similar incidents.</w:t>
      </w:r>
    </w:p>
    <w:p>
      <w:pPr>
        <w:pStyle w:val="Heading2"/>
        <w:spacing w:after="120" w:before="300"/>
      </w:pPr>
      <w:r>
        <w:rPr>
          <w:rFonts w:ascii="Arial" w:cs="Arial" w:eastAsia="Arial" w:hAnsi="Arial"/>
          <w:b/>
          <w:bCs/>
          <w:color w:val="1B3A5C"/>
          <w:sz w:val="26"/>
          <w:szCs w:val="26"/>
        </w:rPr>
        <w:t xml:space="preserve">9.3 Documentation</w:t>
      </w:r>
    </w:p>
    <w:p>
      <w:pPr>
        <w:spacing w:after="120"/>
        <w:jc w:val="both"/>
      </w:pPr>
      <w:r>
        <w:rPr>
          <w:rFonts w:ascii="Arial" w:cs="Arial" w:eastAsia="Arial" w:hAnsi="Arial"/>
          <w:b w:val="false"/>
          <w:bCs w:val="false"/>
          <w:i w:val="false"/>
          <w:iCs w:val="false"/>
          <w:sz w:val="22"/>
          <w:szCs w:val="22"/>
        </w:rPr>
        <w:t xml:space="preserve">Complete incident documentation is maintained in the incident management system and includes:</w:t>
      </w:r>
    </w:p>
    <w:p>
      <w:pPr>
        <w:pStyle w:val="ListParagraph"/>
        <w:numPr>
          <w:ilvl w:val="0"/>
          <w:numId w:val="1"/>
        </w:numPr>
        <w:spacing w:after="60"/>
      </w:pPr>
      <w:r>
        <w:rPr>
          <w:rFonts w:ascii="Arial" w:cs="Arial" w:eastAsia="Arial" w:hAnsi="Arial"/>
          <w:sz w:val="22"/>
          <w:szCs w:val="22"/>
        </w:rPr>
        <w:t xml:space="preserve">Incident report with timeline, classification, scope, and impact assessment.</w:t>
      </w:r>
    </w:p>
    <w:p>
      <w:pPr>
        <w:pStyle w:val="ListParagraph"/>
        <w:numPr>
          <w:ilvl w:val="0"/>
          <w:numId w:val="1"/>
        </w:numPr>
        <w:spacing w:after="60"/>
      </w:pPr>
      <w:r>
        <w:rPr>
          <w:rFonts w:ascii="Arial" w:cs="Arial" w:eastAsia="Arial" w:hAnsi="Arial"/>
          <w:sz w:val="22"/>
          <w:szCs w:val="22"/>
        </w:rPr>
        <w:t xml:space="preserve">All communications sent and received during the incident, including CMS and regulatory notifications.</w:t>
      </w:r>
    </w:p>
    <w:p>
      <w:pPr>
        <w:pStyle w:val="ListParagraph"/>
        <w:numPr>
          <w:ilvl w:val="0"/>
          <w:numId w:val="1"/>
        </w:numPr>
        <w:spacing w:after="60"/>
      </w:pPr>
      <w:r>
        <w:rPr>
          <w:rFonts w:ascii="Arial" w:cs="Arial" w:eastAsia="Arial" w:hAnsi="Arial"/>
          <w:sz w:val="22"/>
          <w:szCs w:val="22"/>
        </w:rPr>
        <w:t xml:space="preserve">Forensic evidence and analysis reports.</w:t>
      </w:r>
    </w:p>
    <w:p>
      <w:pPr>
        <w:pStyle w:val="ListParagraph"/>
        <w:numPr>
          <w:ilvl w:val="0"/>
          <w:numId w:val="1"/>
        </w:numPr>
        <w:spacing w:after="60"/>
      </w:pPr>
      <w:r>
        <w:rPr>
          <w:rFonts w:ascii="Arial" w:cs="Arial" w:eastAsia="Arial" w:hAnsi="Arial"/>
          <w:sz w:val="22"/>
          <w:szCs w:val="22"/>
        </w:rPr>
        <w:t xml:space="preserve">Remediation actions taken and verification results.</w:t>
      </w:r>
    </w:p>
    <w:p>
      <w:pPr>
        <w:pStyle w:val="ListParagraph"/>
        <w:numPr>
          <w:ilvl w:val="0"/>
          <w:numId w:val="1"/>
        </w:numPr>
        <w:spacing w:after="60"/>
      </w:pPr>
      <w:r>
        <w:rPr>
          <w:rFonts w:ascii="Arial" w:cs="Arial" w:eastAsia="Arial" w:hAnsi="Arial"/>
          <w:sz w:val="22"/>
          <w:szCs w:val="22"/>
        </w:rPr>
        <w:t xml:space="preserve">Post-incident review findings and improvement action items.</w:t>
      </w:r>
    </w:p>
    <w:p>
      <w:pPr>
        <w:spacing w:after="120"/>
        <w:jc w:val="both"/>
      </w:pPr>
      <w:r>
        <w:rPr>
          <w:rFonts w:ascii="Arial" w:cs="Arial" w:eastAsia="Arial" w:hAnsi="Arial"/>
          <w:b w:val="false"/>
          <w:bCs w:val="false"/>
          <w:i w:val="false"/>
          <w:iCs w:val="false"/>
          <w:sz w:val="22"/>
          <w:szCs w:val="22"/>
        </w:rPr>
        <w:t xml:space="preserve">Incident documentation is retained for a minimum of 10 years per CMS EDE requirements and HIPAA documentation standards.</w:t>
      </w:r>
    </w:p>
    <w:p>
      <w:pPr>
        <w:pStyle w:val="Heading1"/>
        <w:spacing w:after="120" w:before="300"/>
      </w:pPr>
      <w:r>
        <w:rPr>
          <w:rFonts w:ascii="Arial" w:cs="Arial" w:eastAsia="Arial" w:hAnsi="Arial"/>
          <w:b/>
          <w:bCs/>
          <w:color w:val="1B3A5C"/>
          <w:sz w:val="32"/>
          <w:szCs w:val="32"/>
        </w:rPr>
        <w:t xml:space="preserve">10. Testing and Exercises</w:t>
      </w:r>
    </w:p>
    <w:p>
      <w:pPr>
        <w:pStyle w:val="Heading2"/>
        <w:spacing w:after="120" w:before="300"/>
      </w:pPr>
      <w:r>
        <w:rPr>
          <w:rFonts w:ascii="Arial" w:cs="Arial" w:eastAsia="Arial" w:hAnsi="Arial"/>
          <w:b/>
          <w:bCs/>
          <w:color w:val="1B3A5C"/>
          <w:sz w:val="26"/>
          <w:szCs w:val="26"/>
        </w:rPr>
        <w:t xml:space="preserve">10.1 Annual Tabletop Exercises</w:t>
      </w:r>
    </w:p>
    <w:p>
      <w:pPr>
        <w:spacing w:after="120"/>
        <w:jc w:val="both"/>
      </w:pPr>
      <w:r>
        <w:rPr>
          <w:rFonts w:ascii="Arial" w:cs="Arial" w:eastAsia="Arial" w:hAnsi="Arial"/>
          <w:b w:val="false"/>
          <w:bCs w:val="false"/>
          <w:i w:val="false"/>
          <w:iCs w:val="false"/>
          <w:sz w:val="22"/>
          <w:szCs w:val="22"/>
        </w:rPr>
        <w:t>HPS AgentLink conducts a minimum of one tabletop exercise annually to validate the effectiveness of the incident response plan. Exercises simulate realistic security incident scenarios and test:</w:t>
      </w:r>
    </w:p>
    <w:p>
      <w:pPr>
        <w:pStyle w:val="ListParagraph"/>
        <w:numPr>
          <w:ilvl w:val="0"/>
          <w:numId w:val="1"/>
        </w:numPr>
        <w:spacing w:after="60"/>
      </w:pPr>
      <w:r>
        <w:rPr>
          <w:rFonts w:ascii="Arial" w:cs="Arial" w:eastAsia="Arial" w:hAnsi="Arial"/>
          <w:sz w:val="22"/>
          <w:szCs w:val="22"/>
        </w:rPr>
        <w:t xml:space="preserve">IRT activation and communication procedures.</w:t>
      </w:r>
    </w:p>
    <w:p>
      <w:pPr>
        <w:pStyle w:val="ListParagraph"/>
        <w:numPr>
          <w:ilvl w:val="0"/>
          <w:numId w:val="1"/>
        </w:numPr>
        <w:spacing w:after="60"/>
      </w:pPr>
      <w:r>
        <w:rPr>
          <w:rFonts w:ascii="Arial" w:cs="Arial" w:eastAsia="Arial" w:hAnsi="Arial"/>
          <w:sz w:val="22"/>
          <w:szCs w:val="22"/>
        </w:rPr>
        <w:t xml:space="preserve">Decision-making processes for containment and notification.</w:t>
      </w:r>
    </w:p>
    <w:p>
      <w:pPr>
        <w:pStyle w:val="ListParagraph"/>
        <w:numPr>
          <w:ilvl w:val="0"/>
          <w:numId w:val="1"/>
        </w:numPr>
        <w:spacing w:after="60"/>
      </w:pPr>
      <w:r>
        <w:rPr>
          <w:rFonts w:ascii="Arial" w:cs="Arial" w:eastAsia="Arial" w:hAnsi="Arial"/>
          <w:sz w:val="22"/>
          <w:szCs w:val="22"/>
        </w:rPr>
        <w:t xml:space="preserve">Coordination with CMS, legal counsel, and external parties.</w:t>
      </w:r>
    </w:p>
    <w:p>
      <w:pPr>
        <w:pStyle w:val="ListParagraph"/>
        <w:numPr>
          <w:ilvl w:val="0"/>
          <w:numId w:val="1"/>
        </w:numPr>
        <w:spacing w:after="60"/>
      </w:pPr>
      <w:r>
        <w:rPr>
          <w:rFonts w:ascii="Arial" w:cs="Arial" w:eastAsia="Arial" w:hAnsi="Arial"/>
          <w:sz w:val="22"/>
          <w:szCs w:val="22"/>
        </w:rPr>
        <w:t xml:space="preserve">Documentation and evidence preservation procedures.</w:t>
      </w:r>
    </w:p>
    <w:p>
      <w:pPr>
        <w:spacing w:after="120"/>
        <w:jc w:val="both"/>
      </w:pPr>
      <w:r>
        <w:rPr>
          <w:rFonts w:ascii="Arial" w:cs="Arial" w:eastAsia="Arial" w:hAnsi="Arial"/>
          <w:b w:val="false"/>
          <w:bCs w:val="false"/>
          <w:i w:val="false"/>
          <w:iCs w:val="false"/>
          <w:sz w:val="22"/>
          <w:szCs w:val="22"/>
        </w:rPr>
        <w:t xml:space="preserve">Exercise results are documented and findings are incorporated into plan updates.</w:t>
      </w:r>
    </w:p>
    <w:p>
      <w:pPr>
        <w:pStyle w:val="Heading2"/>
        <w:spacing w:after="120" w:before="300"/>
      </w:pPr>
      <w:r>
        <w:rPr>
          <w:rFonts w:ascii="Arial" w:cs="Arial" w:eastAsia="Arial" w:hAnsi="Arial"/>
          <w:b/>
          <w:bCs/>
          <w:color w:val="1B3A5C"/>
          <w:sz w:val="26"/>
          <w:szCs w:val="26"/>
        </w:rPr>
        <w:t xml:space="preserve">10.2 Quarterly Procedure Review</w:t>
      </w:r>
    </w:p>
    <w:p>
      <w:pPr>
        <w:spacing w:after="120"/>
        <w:jc w:val="both"/>
      </w:pPr>
      <w:r>
        <w:rPr>
          <w:rFonts w:ascii="Arial" w:cs="Arial" w:eastAsia="Arial" w:hAnsi="Arial"/>
          <w:b w:val="false"/>
          <w:bCs w:val="false"/>
          <w:i w:val="false"/>
          <w:iCs w:val="false"/>
          <w:sz w:val="22"/>
          <w:szCs w:val="22"/>
        </w:rPr>
        <w:t xml:space="preserve">On a quarterly basis, the IRT conducts a review of incident response procedures, including:</w:t>
      </w:r>
    </w:p>
    <w:p>
      <w:pPr>
        <w:pStyle w:val="ListParagraph"/>
        <w:numPr>
          <w:ilvl w:val="0"/>
          <w:numId w:val="1"/>
        </w:numPr>
        <w:spacing w:after="60"/>
      </w:pPr>
      <w:r>
        <w:rPr>
          <w:rFonts w:ascii="Arial" w:cs="Arial" w:eastAsia="Arial" w:hAnsi="Arial"/>
          <w:sz w:val="22"/>
          <w:szCs w:val="22"/>
        </w:rPr>
        <w:t xml:space="preserve">Verification of contact information for all IRT members and external contacts.</w:t>
      </w:r>
    </w:p>
    <w:p>
      <w:pPr>
        <w:pStyle w:val="ListParagraph"/>
        <w:numPr>
          <w:ilvl w:val="0"/>
          <w:numId w:val="1"/>
        </w:numPr>
        <w:spacing w:after="60"/>
      </w:pPr>
      <w:r>
        <w:rPr>
          <w:rFonts w:ascii="Arial" w:cs="Arial" w:eastAsia="Arial" w:hAnsi="Arial"/>
          <w:sz w:val="22"/>
          <w:szCs w:val="22"/>
        </w:rPr>
        <w:t xml:space="preserve">Review and testing of automated detection and alerting mechanisms.</w:t>
      </w:r>
    </w:p>
    <w:p>
      <w:pPr>
        <w:pStyle w:val="ListParagraph"/>
        <w:numPr>
          <w:ilvl w:val="0"/>
          <w:numId w:val="1"/>
        </w:numPr>
        <w:spacing w:after="60"/>
      </w:pPr>
      <w:r>
        <w:rPr>
          <w:rFonts w:ascii="Arial" w:cs="Arial" w:eastAsia="Arial" w:hAnsi="Arial"/>
          <w:sz w:val="22"/>
          <w:szCs w:val="22"/>
        </w:rPr>
        <w:t xml:space="preserve">Validation of containment procedures (session revocation, account lockout, credential rotation).</w:t>
      </w:r>
    </w:p>
    <w:p>
      <w:pPr>
        <w:pStyle w:val="ListParagraph"/>
        <w:numPr>
          <w:ilvl w:val="0"/>
          <w:numId w:val="1"/>
        </w:numPr>
        <w:spacing w:after="60"/>
      </w:pPr>
      <w:r>
        <w:rPr>
          <w:rFonts w:ascii="Arial" w:cs="Arial" w:eastAsia="Arial" w:hAnsi="Arial"/>
          <w:sz w:val="22"/>
          <w:szCs w:val="22"/>
        </w:rPr>
        <w:t xml:space="preserve">Update of the incident response toolkit and forensic tools.</w:t>
      </w:r>
    </w:p>
    <w:p>
      <w:pPr>
        <w:pStyle w:val="ListParagraph"/>
        <w:numPr>
          <w:ilvl w:val="0"/>
          <w:numId w:val="1"/>
        </w:numPr>
        <w:spacing w:after="60"/>
      </w:pPr>
      <w:r>
        <w:rPr>
          <w:rFonts w:ascii="Arial" w:cs="Arial" w:eastAsia="Arial" w:hAnsi="Arial"/>
          <w:sz w:val="22"/>
          <w:szCs w:val="22"/>
        </w:rPr>
        <w:t>Review of recent industry incidents and applicability to HPS AgentLink systems.</w:t>
      </w:r>
    </w:p>
    <w:p>
      <w:pPr>
        <w:pStyle w:val="Heading2"/>
        <w:spacing w:after="120" w:before="300"/>
      </w:pPr>
      <w:r>
        <w:rPr>
          <w:rFonts w:ascii="Arial" w:cs="Arial" w:eastAsia="Arial" w:hAnsi="Arial"/>
          <w:b/>
          <w:bCs/>
          <w:color w:val="1B3A5C"/>
          <w:sz w:val="26"/>
          <w:szCs w:val="26"/>
        </w:rPr>
        <w:t xml:space="preserve">10.3 New Hire Training</w:t>
      </w:r>
    </w:p>
    <w:p>
      <w:pPr>
        <w:spacing w:after="120"/>
        <w:jc w:val="both"/>
      </w:pPr>
      <w:r>
        <w:rPr>
          <w:rFonts w:ascii="Arial" w:cs="Arial" w:eastAsia="Arial" w:hAnsi="Arial"/>
          <w:b w:val="false"/>
          <w:bCs w:val="false"/>
          <w:i w:val="false"/>
          <w:iCs w:val="false"/>
          <w:sz w:val="22"/>
          <w:szCs w:val="22"/>
        </w:rPr>
        <w:t>All new personnel with access to HPS AgentLink systems receive incident response orientation within their first 30 days, including their role in incident detection and reporting, escalation procedures, and evidence preservation requirements.</w:t>
      </w:r>
    </w:p>
    <w:p>
      <w:pPr>
        <w:pStyle w:val="Heading1"/>
        <w:spacing w:after="120" w:before="300"/>
      </w:pPr>
      <w:r>
        <w:rPr>
          <w:rFonts w:ascii="Arial" w:cs="Arial" w:eastAsia="Arial" w:hAnsi="Arial"/>
          <w:b/>
          <w:bCs/>
          <w:color w:val="1B3A5C"/>
          <w:sz w:val="32"/>
          <w:szCs w:val="32"/>
        </w:rPr>
        <w:t xml:space="preserve">11. Appendices</w:t>
      </w:r>
    </w:p>
    <w:p>
      <w:pPr>
        <w:pStyle w:val="Heading2"/>
        <w:spacing w:after="120" w:before="300"/>
      </w:pPr>
      <w:r>
        <w:rPr>
          <w:rFonts w:ascii="Arial" w:cs="Arial" w:eastAsia="Arial" w:hAnsi="Arial"/>
          <w:b/>
          <w:bCs/>
          <w:color w:val="1B3A5C"/>
          <w:sz w:val="26"/>
          <w:szCs w:val="26"/>
        </w:rPr>
        <w:t xml:space="preserve">11.1 Appendix A: Emergency Contact List</w:t>
      </w:r>
    </w:p>
    <w:p>
      <w:pPr>
        <w:spacing w:before="1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rPr>
          <w:tblHeader/>
        </w:trPr>
        <w:tc>
          <w:tcPr>
            <w:tcW w:type="pct" w:w="20%"/>
            <w:shd w:color="1B3A5C" w:val="solid"/>
          </w:tcPr>
          <w:p>
            <w:r>
              <w:rPr>
                <w:rFonts w:ascii="Arial" w:cs="Arial" w:eastAsia="Arial" w:hAnsi="Arial"/>
                <w:b/>
                <w:bCs/>
                <w:color w:val="FFFFFF"/>
                <w:sz w:val="20"/>
                <w:szCs w:val="20"/>
              </w:rPr>
              <w:t xml:space="preserve">Role</w:t>
            </w:r>
          </w:p>
        </w:tc>
        <w:tc>
          <w:tcPr>
            <w:tcW w:type="pct" w:w="20%"/>
            <w:shd w:color="1B3A5C" w:val="solid"/>
          </w:tcPr>
          <w:p>
            <w:r>
              <w:rPr>
                <w:rFonts w:ascii="Arial" w:cs="Arial" w:eastAsia="Arial" w:hAnsi="Arial"/>
                <w:b/>
                <w:bCs/>
                <w:color w:val="FFFFFF"/>
                <w:sz w:val="20"/>
                <w:szCs w:val="20"/>
              </w:rPr>
              <w:t xml:space="preserve">Name</w:t>
            </w:r>
          </w:p>
        </w:tc>
        <w:tc>
          <w:tcPr>
            <w:tcW w:type="pct" w:w="20%"/>
            <w:shd w:color="1B3A5C" w:val="solid"/>
          </w:tcPr>
          <w:p>
            <w:r>
              <w:rPr>
                <w:rFonts w:ascii="Arial" w:cs="Arial" w:eastAsia="Arial" w:hAnsi="Arial"/>
                <w:b/>
                <w:bCs/>
                <w:color w:val="FFFFFF"/>
                <w:sz w:val="20"/>
                <w:szCs w:val="20"/>
              </w:rPr>
              <w:t xml:space="preserve">Phone</w:t>
            </w:r>
          </w:p>
        </w:tc>
        <w:tc>
          <w:tcPr>
            <w:tcW w:type="pct" w:w="20%"/>
            <w:shd w:color="1B3A5C" w:val="solid"/>
          </w:tcPr>
          <w:p>
            <w:r>
              <w:rPr>
                <w:rFonts w:ascii="Arial" w:cs="Arial" w:eastAsia="Arial" w:hAnsi="Arial"/>
                <w:b/>
                <w:bCs/>
                <w:color w:val="FFFFFF"/>
                <w:sz w:val="20"/>
                <w:szCs w:val="20"/>
              </w:rPr>
              <w:t xml:space="preserve">Email</w:t>
            </w:r>
          </w:p>
        </w:tc>
        <w:tc>
          <w:tcPr>
            <w:tcW w:type="pct" w:w="20%"/>
            <w:shd w:color="1B3A5C" w:val="solid"/>
          </w:tcPr>
          <w:p>
            <w:r>
              <w:rPr>
                <w:rFonts w:ascii="Arial" w:cs="Arial" w:eastAsia="Arial" w:hAnsi="Arial"/>
                <w:b/>
                <w:bCs/>
                <w:color w:val="FFFFFF"/>
                <w:sz w:val="20"/>
                <w:szCs w:val="20"/>
              </w:rPr>
              <w:t xml:space="preserve">Availability</w:t>
            </w:r>
          </w:p>
        </w:tc>
      </w:tr>
      <w:tr>
        <w:tc>
          <w:p>
            <w:r>
              <w:rPr>
                <w:rFonts w:ascii="Arial" w:cs="Arial" w:eastAsia="Arial" w:hAnsi="Arial"/>
                <w:sz w:val="20"/>
                <w:szCs w:val="20"/>
              </w:rPr>
              <w:t xml:space="preserve">Incident Commander (CISO)</w:t>
            </w:r>
          </w:p>
        </w:tc>
        <w:tc>
          <w:p>
            <w:r>
              <w:rPr>
                <w:rFonts w:ascii="Arial" w:cs="Arial" w:eastAsia="Arial" w:hAnsi="Arial"/>
                <w:sz w:val="20"/>
                <w:szCs w:val="20"/>
              </w:rPr>
              <w:t xml:space="preserve">[Name]</w:t>
            </w:r>
          </w:p>
        </w:tc>
        <w:tc>
          <w:p>
            <w:r>
              <w:rPr>
                <w:rFonts w:ascii="Arial" w:cs="Arial" w:eastAsia="Arial" w:hAnsi="Arial"/>
                <w:sz w:val="20"/>
                <w:szCs w:val="20"/>
              </w:rPr>
              <w:t xml:space="preserve">[Phone]</w:t>
            </w:r>
          </w:p>
        </w:tc>
        <w:tc>
          <w:p>
            <w:r>
              <w:rPr>
                <w:rFonts w:ascii="Arial" w:cs="Arial" w:eastAsia="Arial" w:hAnsi="Arial"/>
                <w:sz w:val="20"/>
                <w:szCs w:val="20"/>
              </w:rPr>
              <w:t xml:space="preserve">[Email]</w:t>
            </w:r>
          </w:p>
        </w:tc>
        <w:tc>
          <w:p>
            <w:r>
              <w:rPr>
                <w:rFonts w:ascii="Arial" w:cs="Arial" w:eastAsia="Arial" w:hAnsi="Arial"/>
                <w:sz w:val="20"/>
                <w:szCs w:val="20"/>
              </w:rPr>
              <w:t xml:space="preserve">24/7</w:t>
            </w:r>
          </w:p>
        </w:tc>
      </w:tr>
      <w:tr>
        <w:tc>
          <w:p>
            <w:r>
              <w:rPr>
                <w:rFonts w:ascii="Arial" w:cs="Arial" w:eastAsia="Arial" w:hAnsi="Arial"/>
                <w:sz w:val="20"/>
                <w:szCs w:val="20"/>
              </w:rPr>
              <w:t xml:space="preserve">Engineering Lead</w:t>
            </w:r>
          </w:p>
        </w:tc>
        <w:tc>
          <w:p>
            <w:r>
              <w:rPr>
                <w:rFonts w:ascii="Arial" w:cs="Arial" w:eastAsia="Arial" w:hAnsi="Arial"/>
                <w:sz w:val="20"/>
                <w:szCs w:val="20"/>
              </w:rPr>
              <w:t xml:space="preserve">[Name]</w:t>
            </w:r>
          </w:p>
        </w:tc>
        <w:tc>
          <w:p>
            <w:r>
              <w:rPr>
                <w:rFonts w:ascii="Arial" w:cs="Arial" w:eastAsia="Arial" w:hAnsi="Arial"/>
                <w:sz w:val="20"/>
                <w:szCs w:val="20"/>
              </w:rPr>
              <w:t xml:space="preserve">[Phone]</w:t>
            </w:r>
          </w:p>
        </w:tc>
        <w:tc>
          <w:p>
            <w:r>
              <w:rPr>
                <w:rFonts w:ascii="Arial" w:cs="Arial" w:eastAsia="Arial" w:hAnsi="Arial"/>
                <w:sz w:val="20"/>
                <w:szCs w:val="20"/>
              </w:rPr>
              <w:t xml:space="preserve">[Email]</w:t>
            </w:r>
          </w:p>
        </w:tc>
        <w:tc>
          <w:p>
            <w:r>
              <w:rPr>
                <w:rFonts w:ascii="Arial" w:cs="Arial" w:eastAsia="Arial" w:hAnsi="Arial"/>
                <w:sz w:val="20"/>
                <w:szCs w:val="20"/>
              </w:rPr>
              <w:t xml:space="preserve">24/7 (on-call)</w:t>
            </w:r>
          </w:p>
        </w:tc>
      </w:tr>
      <w:tr>
        <w:tc>
          <w:p>
            <w:r>
              <w:rPr>
                <w:rFonts w:ascii="Arial" w:cs="Arial" w:eastAsia="Arial" w:hAnsi="Arial"/>
                <w:sz w:val="20"/>
                <w:szCs w:val="20"/>
              </w:rPr>
              <w:t xml:space="preserve">Legal Counsel</w:t>
            </w:r>
          </w:p>
        </w:tc>
        <w:tc>
          <w:p>
            <w:r>
              <w:rPr>
                <w:rFonts w:ascii="Arial" w:cs="Arial" w:eastAsia="Arial" w:hAnsi="Arial"/>
                <w:sz w:val="20"/>
                <w:szCs w:val="20"/>
              </w:rPr>
              <w:t xml:space="preserve">[Name]</w:t>
            </w:r>
          </w:p>
        </w:tc>
        <w:tc>
          <w:p>
            <w:r>
              <w:rPr>
                <w:rFonts w:ascii="Arial" w:cs="Arial" w:eastAsia="Arial" w:hAnsi="Arial"/>
                <w:sz w:val="20"/>
                <w:szCs w:val="20"/>
              </w:rPr>
              <w:t xml:space="preserve">[Phone]</w:t>
            </w:r>
          </w:p>
        </w:tc>
        <w:tc>
          <w:p>
            <w:r>
              <w:rPr>
                <w:rFonts w:ascii="Arial" w:cs="Arial" w:eastAsia="Arial" w:hAnsi="Arial"/>
                <w:sz w:val="20"/>
                <w:szCs w:val="20"/>
              </w:rPr>
              <w:t xml:space="preserve">[Email]</w:t>
            </w:r>
          </w:p>
        </w:tc>
        <w:tc>
          <w:p>
            <w:r>
              <w:rPr>
                <w:rFonts w:ascii="Arial" w:cs="Arial" w:eastAsia="Arial" w:hAnsi="Arial"/>
                <w:sz w:val="20"/>
                <w:szCs w:val="20"/>
              </w:rPr>
              <w:t xml:space="preserve">Business hours + on-call</w:t>
            </w:r>
          </w:p>
        </w:tc>
      </w:tr>
      <w:tr>
        <w:tc>
          <w:p>
            <w:r>
              <w:rPr>
                <w:rFonts w:ascii="Arial" w:cs="Arial" w:eastAsia="Arial" w:hAnsi="Arial"/>
                <w:sz w:val="20"/>
                <w:szCs w:val="20"/>
              </w:rPr>
              <w:t xml:space="preserve">CMS Liaison</w:t>
            </w:r>
          </w:p>
        </w:tc>
        <w:tc>
          <w:p>
            <w:r>
              <w:rPr>
                <w:rFonts w:ascii="Arial" w:cs="Arial" w:eastAsia="Arial" w:hAnsi="Arial"/>
                <w:sz w:val="20"/>
                <w:szCs w:val="20"/>
              </w:rPr>
              <w:t xml:space="preserve">[Name]</w:t>
            </w:r>
          </w:p>
        </w:tc>
        <w:tc>
          <w:p>
            <w:r>
              <w:rPr>
                <w:rFonts w:ascii="Arial" w:cs="Arial" w:eastAsia="Arial" w:hAnsi="Arial"/>
                <w:sz w:val="20"/>
                <w:szCs w:val="20"/>
              </w:rPr>
              <w:t xml:space="preserve">[Phone]</w:t>
            </w:r>
          </w:p>
        </w:tc>
        <w:tc>
          <w:p>
            <w:r>
              <w:rPr>
                <w:rFonts w:ascii="Arial" w:cs="Arial" w:eastAsia="Arial" w:hAnsi="Arial"/>
                <w:sz w:val="20"/>
                <w:szCs w:val="20"/>
              </w:rPr>
              <w:t xml:space="preserve">[Email]</w:t>
            </w:r>
          </w:p>
        </w:tc>
        <w:tc>
          <w:p>
            <w:r>
              <w:rPr>
                <w:rFonts w:ascii="Arial" w:cs="Arial" w:eastAsia="Arial" w:hAnsi="Arial"/>
                <w:sz w:val="20"/>
                <w:szCs w:val="20"/>
              </w:rPr>
              <w:t xml:space="preserve">Business hours + on-call</w:t>
            </w:r>
          </w:p>
        </w:tc>
      </w:tr>
      <w:tr>
        <w:tc>
          <w:p>
            <w:r>
              <w:rPr>
                <w:rFonts w:ascii="Arial" w:cs="Arial" w:eastAsia="Arial" w:hAnsi="Arial"/>
                <w:sz w:val="20"/>
                <w:szCs w:val="20"/>
              </w:rPr>
              <w:t xml:space="preserve">Communications Lead</w:t>
            </w:r>
          </w:p>
        </w:tc>
        <w:tc>
          <w:p>
            <w:r>
              <w:rPr>
                <w:rFonts w:ascii="Arial" w:cs="Arial" w:eastAsia="Arial" w:hAnsi="Arial"/>
                <w:sz w:val="20"/>
                <w:szCs w:val="20"/>
              </w:rPr>
              <w:t xml:space="preserve">[Name]</w:t>
            </w:r>
          </w:p>
        </w:tc>
        <w:tc>
          <w:p>
            <w:r>
              <w:rPr>
                <w:rFonts w:ascii="Arial" w:cs="Arial" w:eastAsia="Arial" w:hAnsi="Arial"/>
                <w:sz w:val="20"/>
                <w:szCs w:val="20"/>
              </w:rPr>
              <w:t xml:space="preserve">[Phone]</w:t>
            </w:r>
          </w:p>
        </w:tc>
        <w:tc>
          <w:p>
            <w:r>
              <w:rPr>
                <w:rFonts w:ascii="Arial" w:cs="Arial" w:eastAsia="Arial" w:hAnsi="Arial"/>
                <w:sz w:val="20"/>
                <w:szCs w:val="20"/>
              </w:rPr>
              <w:t xml:space="preserve">[Email]</w:t>
            </w:r>
          </w:p>
        </w:tc>
        <w:tc>
          <w:p>
            <w:r>
              <w:rPr>
                <w:rFonts w:ascii="Arial" w:cs="Arial" w:eastAsia="Arial" w:hAnsi="Arial"/>
                <w:sz w:val="20"/>
                <w:szCs w:val="20"/>
              </w:rPr>
              <w:t xml:space="preserve">Business hours + on-call</w:t>
            </w:r>
          </w:p>
        </w:tc>
      </w:tr>
      <w:tr>
        <w:tc>
          <w:p>
            <w:r>
              <w:rPr>
                <w:rFonts w:ascii="Arial" w:cs="Arial" w:eastAsia="Arial" w:hAnsi="Arial"/>
                <w:sz w:val="20"/>
                <w:szCs w:val="20"/>
              </w:rPr>
              <w:t xml:space="preserve">CMS ISSO</w:t>
            </w:r>
          </w:p>
        </w:tc>
        <w:tc>
          <w:p>
            <w:r>
              <w:rPr>
                <w:rFonts w:ascii="Arial" w:cs="Arial" w:eastAsia="Arial" w:hAnsi="Arial"/>
                <w:sz w:val="20"/>
                <w:szCs w:val="20"/>
              </w:rPr>
              <w:t xml:space="preserve">[CMS Contact]</w:t>
            </w:r>
          </w:p>
        </w:tc>
        <w:tc>
          <w:p>
            <w:r>
              <w:rPr>
                <w:rFonts w:ascii="Arial" w:cs="Arial" w:eastAsia="Arial" w:hAnsi="Arial"/>
                <w:sz w:val="20"/>
                <w:szCs w:val="20"/>
              </w:rPr>
              <w:t xml:space="preserve">[Phone]</w:t>
            </w:r>
          </w:p>
        </w:tc>
        <w:tc>
          <w:p>
            <w:r>
              <w:rPr>
                <w:rFonts w:ascii="Arial" w:cs="Arial" w:eastAsia="Arial" w:hAnsi="Arial"/>
                <w:sz w:val="20"/>
                <w:szCs w:val="20"/>
              </w:rPr>
              <w:t xml:space="preserve">[Email]</w:t>
            </w:r>
          </w:p>
        </w:tc>
        <w:tc>
          <w:p>
            <w:r>
              <w:rPr>
                <w:rFonts w:ascii="Arial" w:cs="Arial" w:eastAsia="Arial" w:hAnsi="Arial"/>
                <w:sz w:val="20"/>
                <w:szCs w:val="20"/>
              </w:rPr>
              <w:t xml:space="preserve">Business hours</w:t>
            </w:r>
          </w:p>
        </w:tc>
      </w:tr>
      <w:tr>
        <w:tc>
          <w:p>
            <w:r>
              <w:rPr>
                <w:rFonts w:ascii="Arial" w:cs="Arial" w:eastAsia="Arial" w:hAnsi="Arial"/>
                <w:sz w:val="20"/>
                <w:szCs w:val="20"/>
              </w:rPr>
              <w:t xml:space="preserve">External Forensics Firm</w:t>
            </w:r>
          </w:p>
        </w:tc>
        <w:tc>
          <w:p>
            <w:r>
              <w:rPr>
                <w:rFonts w:ascii="Arial" w:cs="Arial" w:eastAsia="Arial" w:hAnsi="Arial"/>
                <w:sz w:val="20"/>
                <w:szCs w:val="20"/>
              </w:rPr>
              <w:t xml:space="preserve">[Firm Name]</w:t>
            </w:r>
          </w:p>
        </w:tc>
        <w:tc>
          <w:p>
            <w:r>
              <w:rPr>
                <w:rFonts w:ascii="Arial" w:cs="Arial" w:eastAsia="Arial" w:hAnsi="Arial"/>
                <w:sz w:val="20"/>
                <w:szCs w:val="20"/>
              </w:rPr>
              <w:t xml:space="preserve">[Phone]</w:t>
            </w:r>
          </w:p>
        </w:tc>
        <w:tc>
          <w:p>
            <w:r>
              <w:rPr>
                <w:rFonts w:ascii="Arial" w:cs="Arial" w:eastAsia="Arial" w:hAnsi="Arial"/>
                <w:sz w:val="20"/>
                <w:szCs w:val="20"/>
              </w:rPr>
              <w:t xml:space="preserve">[Email]</w:t>
            </w:r>
          </w:p>
        </w:tc>
        <w:tc>
          <w:p>
            <w:r>
              <w:rPr>
                <w:rFonts w:ascii="Arial" w:cs="Arial" w:eastAsia="Arial" w:hAnsi="Arial"/>
                <w:sz w:val="20"/>
                <w:szCs w:val="20"/>
              </w:rPr>
              <w:t xml:space="preserve">Retainer-based</w:t>
            </w:r>
          </w:p>
        </w:tc>
      </w:tr>
      <w:tr>
        <w:tc>
          <w:p>
            <w:r>
              <w:rPr>
                <w:rFonts w:ascii="Arial" w:cs="Arial" w:eastAsia="Arial" w:hAnsi="Arial"/>
                <w:sz w:val="20"/>
                <w:szCs w:val="20"/>
              </w:rPr>
              <w:t xml:space="preserve">External Legal Counsel</w:t>
            </w:r>
          </w:p>
        </w:tc>
        <w:tc>
          <w:p>
            <w:r>
              <w:rPr>
                <w:rFonts w:ascii="Arial" w:cs="Arial" w:eastAsia="Arial" w:hAnsi="Arial"/>
                <w:sz w:val="20"/>
                <w:szCs w:val="20"/>
              </w:rPr>
              <w:t xml:space="preserve">[Firm Name]</w:t>
            </w:r>
          </w:p>
        </w:tc>
        <w:tc>
          <w:p>
            <w:r>
              <w:rPr>
                <w:rFonts w:ascii="Arial" w:cs="Arial" w:eastAsia="Arial" w:hAnsi="Arial"/>
                <w:sz w:val="20"/>
                <w:szCs w:val="20"/>
              </w:rPr>
              <w:t xml:space="preserve">[Phone]</w:t>
            </w:r>
          </w:p>
        </w:tc>
        <w:tc>
          <w:p>
            <w:r>
              <w:rPr>
                <w:rFonts w:ascii="Arial" w:cs="Arial" w:eastAsia="Arial" w:hAnsi="Arial"/>
                <w:sz w:val="20"/>
                <w:szCs w:val="20"/>
              </w:rPr>
              <w:t xml:space="preserve">[Email]</w:t>
            </w:r>
          </w:p>
        </w:tc>
        <w:tc>
          <w:p>
            <w:r>
              <w:rPr>
                <w:rFonts w:ascii="Arial" w:cs="Arial" w:eastAsia="Arial" w:hAnsi="Arial"/>
                <w:sz w:val="20"/>
                <w:szCs w:val="20"/>
              </w:rPr>
              <w:t xml:space="preserve">Retainer-based</w:t>
            </w:r>
          </w:p>
        </w:tc>
      </w:tr>
      <w:tr>
        <w:tc>
          <w:p>
            <w:r>
              <w:rPr>
                <w:rFonts w:ascii="Arial" w:cs="Arial" w:eastAsia="Arial" w:hAnsi="Arial"/>
                <w:sz w:val="20"/>
                <w:szCs w:val="20"/>
              </w:rPr>
              <w:t xml:space="preserve">Insurance (Cyber Liability)</w:t>
            </w:r>
          </w:p>
        </w:tc>
        <w:tc>
          <w:p>
            <w:r>
              <w:rPr>
                <w:rFonts w:ascii="Arial" w:cs="Arial" w:eastAsia="Arial" w:hAnsi="Arial"/>
                <w:sz w:val="20"/>
                <w:szCs w:val="20"/>
              </w:rPr>
              <w:t xml:space="preserve">[Carrier Name]</w:t>
            </w:r>
          </w:p>
        </w:tc>
        <w:tc>
          <w:p>
            <w:r>
              <w:rPr>
                <w:rFonts w:ascii="Arial" w:cs="Arial" w:eastAsia="Arial" w:hAnsi="Arial"/>
                <w:sz w:val="20"/>
                <w:szCs w:val="20"/>
              </w:rPr>
              <w:t xml:space="preserve">[Phone]</w:t>
            </w:r>
          </w:p>
        </w:tc>
        <w:tc>
          <w:p>
            <w:r>
              <w:rPr>
                <w:rFonts w:ascii="Arial" w:cs="Arial" w:eastAsia="Arial" w:hAnsi="Arial"/>
                <w:sz w:val="20"/>
                <w:szCs w:val="20"/>
              </w:rPr>
              <w:t xml:space="preserve">[Policy #]</w:t>
            </w:r>
          </w:p>
        </w:tc>
        <w:tc>
          <w:p>
            <w:r>
              <w:rPr>
                <w:rFonts w:ascii="Arial" w:cs="Arial" w:eastAsia="Arial" w:hAnsi="Arial"/>
                <w:sz w:val="20"/>
                <w:szCs w:val="20"/>
              </w:rPr>
              <w:t xml:space="preserve">Claims hotline 24/7</w:t>
            </w:r>
          </w:p>
        </w:tc>
      </w:tr>
    </w:tbl>
    <w:p>
      <w:pPr>
        <w:pStyle w:val="Heading2"/>
        <w:spacing w:after="120" w:before="300"/>
      </w:pPr>
      <w:r>
        <w:rPr>
          <w:rFonts w:ascii="Arial" w:cs="Arial" w:eastAsia="Arial" w:hAnsi="Arial"/>
          <w:b/>
          <w:bCs/>
          <w:color w:val="1B3A5C"/>
          <w:sz w:val="26"/>
          <w:szCs w:val="26"/>
        </w:rPr>
        <w:t xml:space="preserve">11.2 Appendix B: Incident Report Form Template</w:t>
      </w:r>
    </w:p>
    <w:p>
      <w:pPr>
        <w:spacing w:before="1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rPr>
          <w:tblHeader/>
        </w:trPr>
        <w:tc>
          <w:tcPr>
            <w:tcW w:type="pct" w:w="50%"/>
            <w:shd w:color="1B3A5C" w:val="solid"/>
          </w:tcPr>
          <w:p>
            <w:r>
              <w:rPr>
                <w:rFonts w:ascii="Arial" w:cs="Arial" w:eastAsia="Arial" w:hAnsi="Arial"/>
                <w:b/>
                <w:bCs/>
                <w:color w:val="FFFFFF"/>
                <w:sz w:val="20"/>
                <w:szCs w:val="20"/>
              </w:rPr>
              <w:t xml:space="preserve">Field</w:t>
            </w:r>
          </w:p>
        </w:tc>
        <w:tc>
          <w:tcPr>
            <w:tcW w:type="pct" w:w="50%"/>
            <w:shd w:color="1B3A5C" w:val="solid"/>
          </w:tcPr>
          <w:p>
            <w:r>
              <w:rPr>
                <w:rFonts w:ascii="Arial" w:cs="Arial" w:eastAsia="Arial" w:hAnsi="Arial"/>
                <w:b/>
                <w:bCs/>
                <w:color w:val="FFFFFF"/>
                <w:sz w:val="20"/>
                <w:szCs w:val="20"/>
              </w:rPr>
              <w:t xml:space="preserve">Description</w:t>
            </w:r>
          </w:p>
        </w:tc>
      </w:tr>
      <w:tr>
        <w:tc>
          <w:p>
            <w:r>
              <w:rPr>
                <w:rFonts w:ascii="Arial" w:cs="Arial" w:eastAsia="Arial" w:hAnsi="Arial"/>
                <w:sz w:val="20"/>
                <w:szCs w:val="20"/>
              </w:rPr>
              <w:t xml:space="preserve">Incident ID</w:t>
            </w:r>
          </w:p>
        </w:tc>
        <w:tc>
          <w:p>
            <w:r>
              <w:rPr>
                <w:rFonts w:ascii="Arial" w:cs="Arial" w:eastAsia="Arial" w:hAnsi="Arial"/>
                <w:sz w:val="20"/>
                <w:szCs w:val="20"/>
              </w:rPr>
              <w:t xml:space="preserve">Auto-generated unique identifier</w:t>
            </w:r>
          </w:p>
        </w:tc>
      </w:tr>
      <w:tr>
        <w:tc>
          <w:p>
            <w:r>
              <w:rPr>
                <w:rFonts w:ascii="Arial" w:cs="Arial" w:eastAsia="Arial" w:hAnsi="Arial"/>
                <w:sz w:val="20"/>
                <w:szCs w:val="20"/>
              </w:rPr>
              <w:t xml:space="preserve">Date/Time Detected</w:t>
            </w:r>
          </w:p>
        </w:tc>
        <w:tc>
          <w:p>
            <w:r>
              <w:rPr>
                <w:rFonts w:ascii="Arial" w:cs="Arial" w:eastAsia="Arial" w:hAnsi="Arial"/>
                <w:sz w:val="20"/>
                <w:szCs w:val="20"/>
              </w:rPr>
              <w:t xml:space="preserve">Timestamp of initial detection or report</w:t>
            </w:r>
          </w:p>
        </w:tc>
      </w:tr>
      <w:tr>
        <w:tc>
          <w:p>
            <w:r>
              <w:rPr>
                <w:rFonts w:ascii="Arial" w:cs="Arial" w:eastAsia="Arial" w:hAnsi="Arial"/>
                <w:sz w:val="20"/>
                <w:szCs w:val="20"/>
              </w:rPr>
              <w:t xml:space="preserve">Date/Time Reported</w:t>
            </w:r>
          </w:p>
        </w:tc>
        <w:tc>
          <w:p>
            <w:r>
              <w:rPr>
                <w:rFonts w:ascii="Arial" w:cs="Arial" w:eastAsia="Arial" w:hAnsi="Arial"/>
                <w:sz w:val="20"/>
                <w:szCs w:val="20"/>
              </w:rPr>
              <w:t xml:space="preserve">Timestamp of report to IRT</w:t>
            </w:r>
          </w:p>
        </w:tc>
      </w:tr>
      <w:tr>
        <w:tc>
          <w:p>
            <w:r>
              <w:rPr>
                <w:rFonts w:ascii="Arial" w:cs="Arial" w:eastAsia="Arial" w:hAnsi="Arial"/>
                <w:sz w:val="20"/>
                <w:szCs w:val="20"/>
              </w:rPr>
              <w:t xml:space="preserve">Detected By</w:t>
            </w:r>
          </w:p>
        </w:tc>
        <w:tc>
          <w:p>
            <w:r>
              <w:rPr>
                <w:rFonts w:ascii="Arial" w:cs="Arial" w:eastAsia="Arial" w:hAnsi="Arial"/>
                <w:sz w:val="20"/>
                <w:szCs w:val="20"/>
              </w:rPr>
              <w:t xml:space="preserve">Person or system that identified the incident</w:t>
            </w:r>
          </w:p>
        </w:tc>
      </w:tr>
      <w:tr>
        <w:tc>
          <w:p>
            <w:r>
              <w:rPr>
                <w:rFonts w:ascii="Arial" w:cs="Arial" w:eastAsia="Arial" w:hAnsi="Arial"/>
                <w:sz w:val="20"/>
                <w:szCs w:val="20"/>
              </w:rPr>
              <w:t xml:space="preserve">Detection Method</w:t>
            </w:r>
          </w:p>
        </w:tc>
        <w:tc>
          <w:p>
            <w:r>
              <w:rPr>
                <w:rFonts w:ascii="Arial" w:cs="Arial" w:eastAsia="Arial" w:hAnsi="Arial"/>
                <w:sz w:val="20"/>
                <w:szCs w:val="20"/>
              </w:rPr>
              <w:t xml:space="preserve">Automated alert / User report / Vendor notification / Other</w:t>
            </w:r>
          </w:p>
        </w:tc>
      </w:tr>
      <w:tr>
        <w:tc>
          <w:p>
            <w:r>
              <w:rPr>
                <w:rFonts w:ascii="Arial" w:cs="Arial" w:eastAsia="Arial" w:hAnsi="Arial"/>
                <w:sz w:val="20"/>
                <w:szCs w:val="20"/>
              </w:rPr>
              <w:t xml:space="preserve">Incident Category</w:t>
            </w:r>
          </w:p>
        </w:tc>
        <w:tc>
          <w:p>
            <w:r>
              <w:rPr>
                <w:rFonts w:ascii="Arial" w:cs="Arial" w:eastAsia="Arial" w:hAnsi="Arial"/>
                <w:sz w:val="20"/>
                <w:szCs w:val="20"/>
              </w:rPr>
              <w:t xml:space="preserve">P1 / P2 / P3 / P4 (per Section 2)</w:t>
            </w:r>
          </w:p>
        </w:tc>
      </w:tr>
      <w:tr>
        <w:tc>
          <w:p>
            <w:r>
              <w:rPr>
                <w:rFonts w:ascii="Arial" w:cs="Arial" w:eastAsia="Arial" w:hAnsi="Arial"/>
                <w:sz w:val="20"/>
                <w:szCs w:val="20"/>
              </w:rPr>
              <w:t xml:space="preserve">Affected Systems</w:t>
            </w:r>
          </w:p>
        </w:tc>
        <w:tc>
          <w:p>
            <w:r>
              <w:rPr>
                <w:rFonts w:ascii="Arial" w:cs="Arial" w:eastAsia="Arial" w:hAnsi="Arial"/>
                <w:sz w:val="20"/>
                <w:szCs w:val="20"/>
              </w:rPr>
              <w:t xml:space="preserve">List of systems, applications, or services impacted</w:t>
            </w:r>
          </w:p>
        </w:tc>
      </w:tr>
      <w:tr>
        <w:tc>
          <w:p>
            <w:r>
              <w:rPr>
                <w:rFonts w:ascii="Arial" w:cs="Arial" w:eastAsia="Arial" w:hAnsi="Arial"/>
                <w:sz w:val="20"/>
                <w:szCs w:val="20"/>
              </w:rPr>
              <w:t xml:space="preserve">Affected Data Types</w:t>
            </w:r>
          </w:p>
        </w:tc>
        <w:tc>
          <w:p>
            <w:r>
              <w:rPr>
                <w:rFonts w:ascii="Arial" w:cs="Arial" w:eastAsia="Arial" w:hAnsi="Arial"/>
                <w:sz w:val="20"/>
                <w:szCs w:val="20"/>
              </w:rPr>
              <w:t xml:space="preserve">PII / PHI / FTI / System data / Credentials / Other</w:t>
            </w:r>
          </w:p>
        </w:tc>
      </w:tr>
      <w:tr>
        <w:tc>
          <w:p>
            <w:r>
              <w:rPr>
                <w:rFonts w:ascii="Arial" w:cs="Arial" w:eastAsia="Arial" w:hAnsi="Arial"/>
                <w:sz w:val="20"/>
                <w:szCs w:val="20"/>
              </w:rPr>
              <w:t xml:space="preserve">Estimated Records Affected</w:t>
            </w:r>
          </w:p>
        </w:tc>
        <w:tc>
          <w:p>
            <w:r>
              <w:rPr>
                <w:rFonts w:ascii="Arial" w:cs="Arial" w:eastAsia="Arial" w:hAnsi="Arial"/>
                <w:sz w:val="20"/>
                <w:szCs w:val="20"/>
              </w:rPr>
              <w:t xml:space="preserve">Number of records potentially compromised</w:t>
            </w:r>
          </w:p>
        </w:tc>
      </w:tr>
      <w:tr>
        <w:tc>
          <w:p>
            <w:r>
              <w:rPr>
                <w:rFonts w:ascii="Arial" w:cs="Arial" w:eastAsia="Arial" w:hAnsi="Arial"/>
                <w:sz w:val="20"/>
                <w:szCs w:val="20"/>
              </w:rPr>
              <w:t xml:space="preserve">Description</w:t>
            </w:r>
          </w:p>
        </w:tc>
        <w:tc>
          <w:p>
            <w:r>
              <w:rPr>
                <w:rFonts w:ascii="Arial" w:cs="Arial" w:eastAsia="Arial" w:hAnsi="Arial"/>
                <w:sz w:val="20"/>
                <w:szCs w:val="20"/>
              </w:rPr>
              <w:t xml:space="preserve">Detailed narrative of the incident</w:t>
            </w:r>
          </w:p>
        </w:tc>
      </w:tr>
      <w:tr>
        <w:tc>
          <w:p>
            <w:r>
              <w:rPr>
                <w:rFonts w:ascii="Arial" w:cs="Arial" w:eastAsia="Arial" w:hAnsi="Arial"/>
                <w:sz w:val="20"/>
                <w:szCs w:val="20"/>
              </w:rPr>
              <w:t xml:space="preserve">Indicators of Compromise</w:t>
            </w:r>
          </w:p>
        </w:tc>
        <w:tc>
          <w:p>
            <w:r>
              <w:rPr>
                <w:rFonts w:ascii="Arial" w:cs="Arial" w:eastAsia="Arial" w:hAnsi="Arial"/>
                <w:sz w:val="20"/>
                <w:szCs w:val="20"/>
              </w:rPr>
              <w:t xml:space="preserve">IP addresses, file hashes, URLs, log entries, etc.</w:t>
            </w:r>
          </w:p>
        </w:tc>
      </w:tr>
      <w:tr>
        <w:tc>
          <w:p>
            <w:r>
              <w:rPr>
                <w:rFonts w:ascii="Arial" w:cs="Arial" w:eastAsia="Arial" w:hAnsi="Arial"/>
                <w:sz w:val="20"/>
                <w:szCs w:val="20"/>
              </w:rPr>
              <w:t xml:space="preserve">Containment Actions Taken</w:t>
            </w:r>
          </w:p>
        </w:tc>
        <w:tc>
          <w:p>
            <w:r>
              <w:rPr>
                <w:rFonts w:ascii="Arial" w:cs="Arial" w:eastAsia="Arial" w:hAnsi="Arial"/>
                <w:sz w:val="20"/>
                <w:szCs w:val="20"/>
              </w:rPr>
              <w:t xml:space="preserve">Steps taken to contain the incident</w:t>
            </w:r>
          </w:p>
        </w:tc>
      </w:tr>
      <w:tr>
        <w:tc>
          <w:p>
            <w:r>
              <w:rPr>
                <w:rFonts w:ascii="Arial" w:cs="Arial" w:eastAsia="Arial" w:hAnsi="Arial"/>
                <w:sz w:val="20"/>
                <w:szCs w:val="20"/>
              </w:rPr>
              <w:t xml:space="preserve">Eradication Actions Taken</w:t>
            </w:r>
          </w:p>
        </w:tc>
        <w:tc>
          <w:p>
            <w:r>
              <w:rPr>
                <w:rFonts w:ascii="Arial" w:cs="Arial" w:eastAsia="Arial" w:hAnsi="Arial"/>
                <w:sz w:val="20"/>
                <w:szCs w:val="20"/>
              </w:rPr>
              <w:t xml:space="preserve">Steps taken to eliminate the root cause</w:t>
            </w:r>
          </w:p>
        </w:tc>
      </w:tr>
      <w:tr>
        <w:tc>
          <w:p>
            <w:r>
              <w:rPr>
                <w:rFonts w:ascii="Arial" w:cs="Arial" w:eastAsia="Arial" w:hAnsi="Arial"/>
                <w:sz w:val="20"/>
                <w:szCs w:val="20"/>
              </w:rPr>
              <w:t xml:space="preserve">Recovery Actions Taken</w:t>
            </w:r>
          </w:p>
        </w:tc>
        <w:tc>
          <w:p>
            <w:r>
              <w:rPr>
                <w:rFonts w:ascii="Arial" w:cs="Arial" w:eastAsia="Arial" w:hAnsi="Arial"/>
                <w:sz w:val="20"/>
                <w:szCs w:val="20"/>
              </w:rPr>
              <w:t xml:space="preserve">Steps taken to restore normal operations</w:t>
            </w:r>
          </w:p>
        </w:tc>
      </w:tr>
      <w:tr>
        <w:tc>
          <w:p>
            <w:r>
              <w:rPr>
                <w:rFonts w:ascii="Arial" w:cs="Arial" w:eastAsia="Arial" w:hAnsi="Arial"/>
                <w:sz w:val="20"/>
                <w:szCs w:val="20"/>
              </w:rPr>
              <w:t xml:space="preserve">Notifications Sent</w:t>
            </w:r>
          </w:p>
        </w:tc>
        <w:tc>
          <w:p>
            <w:r>
              <w:rPr>
                <w:rFonts w:ascii="Arial" w:cs="Arial" w:eastAsia="Arial" w:hAnsi="Arial"/>
                <w:sz w:val="20"/>
                <w:szCs w:val="20"/>
              </w:rPr>
              <w:t xml:space="preserve">CMS / HHS / Individuals / IRS / State — with dates</w:t>
            </w:r>
          </w:p>
        </w:tc>
      </w:tr>
      <w:tr>
        <w:tc>
          <w:p>
            <w:r>
              <w:rPr>
                <w:rFonts w:ascii="Arial" w:cs="Arial" w:eastAsia="Arial" w:hAnsi="Arial"/>
                <w:sz w:val="20"/>
                <w:szCs w:val="20"/>
              </w:rPr>
              <w:t xml:space="preserve">Root Cause</w:t>
            </w:r>
          </w:p>
        </w:tc>
        <w:tc>
          <w:p>
            <w:r>
              <w:rPr>
                <w:rFonts w:ascii="Arial" w:cs="Arial" w:eastAsia="Arial" w:hAnsi="Arial"/>
                <w:sz w:val="20"/>
                <w:szCs w:val="20"/>
              </w:rPr>
              <w:t xml:space="preserve">Determined root cause of the incident</w:t>
            </w:r>
          </w:p>
        </w:tc>
      </w:tr>
      <w:tr>
        <w:tc>
          <w:p>
            <w:r>
              <w:rPr>
                <w:rFonts w:ascii="Arial" w:cs="Arial" w:eastAsia="Arial" w:hAnsi="Arial"/>
                <w:sz w:val="20"/>
                <w:szCs w:val="20"/>
              </w:rPr>
              <w:t xml:space="preserve">Lessons Learned</w:t>
            </w:r>
          </w:p>
        </w:tc>
        <w:tc>
          <w:p>
            <w:r>
              <w:rPr>
                <w:rFonts w:ascii="Arial" w:cs="Arial" w:eastAsia="Arial" w:hAnsi="Arial"/>
                <w:sz w:val="20"/>
                <w:szCs w:val="20"/>
              </w:rPr>
              <w:t xml:space="preserve">Key findings from post-incident review</w:t>
            </w:r>
          </w:p>
        </w:tc>
      </w:tr>
      <w:tr>
        <w:tc>
          <w:p>
            <w:r>
              <w:rPr>
                <w:rFonts w:ascii="Arial" w:cs="Arial" w:eastAsia="Arial" w:hAnsi="Arial"/>
                <w:sz w:val="20"/>
                <w:szCs w:val="20"/>
              </w:rPr>
              <w:t xml:space="preserve">Remediation Items</w:t>
            </w:r>
          </w:p>
        </w:tc>
        <w:tc>
          <w:p>
            <w:r>
              <w:rPr>
                <w:rFonts w:ascii="Arial" w:cs="Arial" w:eastAsia="Arial" w:hAnsi="Arial"/>
                <w:sz w:val="20"/>
                <w:szCs w:val="20"/>
              </w:rPr>
              <w:t xml:space="preserve">Action items with owners and target dates</w:t>
            </w:r>
          </w:p>
        </w:tc>
      </w:tr>
      <w:tr>
        <w:tc>
          <w:p>
            <w:r>
              <w:rPr>
                <w:rFonts w:ascii="Arial" w:cs="Arial" w:eastAsia="Arial" w:hAnsi="Arial"/>
                <w:sz w:val="20"/>
                <w:szCs w:val="20"/>
              </w:rPr>
              <w:t xml:space="preserve">Incident Status</w:t>
            </w:r>
          </w:p>
        </w:tc>
        <w:tc>
          <w:p>
            <w:r>
              <w:rPr>
                <w:rFonts w:ascii="Arial" w:cs="Arial" w:eastAsia="Arial" w:hAnsi="Arial"/>
                <w:sz w:val="20"/>
                <w:szCs w:val="20"/>
              </w:rPr>
              <w:t xml:space="preserve">Open / Contained / Eradicated / Recovered / Closed</w:t>
            </w:r>
          </w:p>
        </w:tc>
      </w:tr>
      <w:tr>
        <w:tc>
          <w:p>
            <w:r>
              <w:rPr>
                <w:rFonts w:ascii="Arial" w:cs="Arial" w:eastAsia="Arial" w:hAnsi="Arial"/>
                <w:sz w:val="20"/>
                <w:szCs w:val="20"/>
              </w:rPr>
              <w:t xml:space="preserve">Incident Commander</w:t>
            </w:r>
          </w:p>
        </w:tc>
        <w:tc>
          <w:p>
            <w:r>
              <w:rPr>
                <w:rFonts w:ascii="Arial" w:cs="Arial" w:eastAsia="Arial" w:hAnsi="Arial"/>
                <w:sz w:val="20"/>
                <w:szCs w:val="20"/>
              </w:rPr>
              <w:t xml:space="preserve">Name of assigned Incident Commander</w:t>
            </w:r>
          </w:p>
        </w:tc>
      </w:tr>
      <w:tr>
        <w:tc>
          <w:p>
            <w:r>
              <w:rPr>
                <w:rFonts w:ascii="Arial" w:cs="Arial" w:eastAsia="Arial" w:hAnsi="Arial"/>
                <w:sz w:val="20"/>
                <w:szCs w:val="20"/>
              </w:rPr>
              <w:t xml:space="preserve">Closed Date</w:t>
            </w:r>
          </w:p>
        </w:tc>
        <w:tc>
          <w:p>
            <w:r>
              <w:rPr>
                <w:rFonts w:ascii="Arial" w:cs="Arial" w:eastAsia="Arial" w:hAnsi="Arial"/>
                <w:sz w:val="20"/>
                <w:szCs w:val="20"/>
              </w:rPr>
              <w:t xml:space="preserve">Date incident was formally closed</w:t>
            </w:r>
          </w:p>
        </w:tc>
      </w:tr>
    </w:tbl>
    <w:p>
      <w:pPr>
        <w:spacing w:before="600"/>
      </w:pPr>
    </w:p>
    <w:p>
      <w:pPr>
        <w:pStyle w:val="Heading1"/>
        <w:spacing w:after="120" w:before="300"/>
      </w:pPr>
      <w:r>
        <w:rPr>
          <w:rFonts w:ascii="Arial" w:cs="Arial" w:eastAsia="Arial" w:hAnsi="Arial"/>
          <w:b/>
          <w:bCs/>
          <w:color w:val="1B3A5C"/>
          <w:sz w:val="32"/>
          <w:szCs w:val="32"/>
        </w:rPr>
        <w:t xml:space="preserve">Document Approval</w:t>
      </w:r>
    </w:p>
    <w:p>
      <w:pPr>
        <w:spacing w:after="120"/>
        <w:jc w:val="both"/>
      </w:pPr>
      <w:r>
        <w:rPr>
          <w:rFonts w:ascii="Arial" w:cs="Arial" w:eastAsia="Arial" w:hAnsi="Arial"/>
          <w:b w:val="false"/>
          <w:bCs w:val="false"/>
          <w:i w:val="false"/>
          <w:iCs w:val="false"/>
          <w:sz w:val="22"/>
          <w:szCs w:val="22"/>
        </w:rPr>
        <w:t xml:space="preserve">This Incident Response Plan has been reviewed and approved by the following individuals:</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Chief Information Security Officer: ____________________</w:t>
      </w:r>
    </w:p>
    <w:p>
      <w:pPr>
        <w:spacing w:after="80"/>
      </w:pPr>
      <w:r>
        <w:rPr>
          <w:rFonts w:ascii="Arial" w:cs="Arial" w:eastAsia="Arial" w:hAnsi="Arial"/>
          <w:sz w:val="22"/>
          <w:szCs w:val="22"/>
        </w:rPr>
        <w:t xml:space="preserve">Date: ____________________</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Engineering Lead: ____________________</w:t>
      </w:r>
    </w:p>
    <w:p>
      <w:pPr>
        <w:spacing w:after="80"/>
      </w:pPr>
      <w:r>
        <w:rPr>
          <w:rFonts w:ascii="Arial" w:cs="Arial" w:eastAsia="Arial" w:hAnsi="Arial"/>
          <w:sz w:val="22"/>
          <w:szCs w:val="22"/>
        </w:rPr>
        <w:t xml:space="preserve">Date: ____________________</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Legal Counsel: ____________________</w:t>
      </w:r>
    </w:p>
    <w:p>
      <w:pPr>
        <w:spacing w:after="80"/>
      </w:pPr>
      <w:r>
        <w:rPr>
          <w:rFonts w:ascii="Arial" w:cs="Arial" w:eastAsia="Arial" w:hAnsi="Arial"/>
          <w:sz w:val="22"/>
          <w:szCs w:val="22"/>
        </w:rPr>
        <w:t xml:space="preserve">Date: ____________________</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Chief Executive Officer: ____________________</w:t>
      </w:r>
    </w:p>
    <w:p>
      <w:pPr>
        <w:spacing w:after="80"/>
      </w:pPr>
      <w:r>
        <w:rPr>
          <w:rFonts w:ascii="Arial" w:cs="Arial" w:eastAsia="Arial" w:hAnsi="Arial"/>
          <w:sz w:val="22"/>
          <w:szCs w:val="22"/>
        </w:rPr>
        <w:t xml:space="preserve">Date: ____________________</w:t>
      </w:r>
    </w:p>
    <w:sectPr>
      <w:headerReference w:type="default" r:id="rId7"/>
      <w:footerReference w:type="default" r:id="rId8"/>
      <w:headerReference w:type="first" r:id="rId10"/>
      <w:headerReference w:type="even" r:id="rId11"/>
      <w:footerReference w:type="first" r:id="rId12"/>
      <w:footerReference w:type="even" r:id="rId13"/>
      <w:pgSz w:w="12240" w:h="15840" w:orient="portrait"/>
      <w:pgMar w:top="1440" w:right="180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16"/>
        <w:szCs w:val="16"/>
      </w:rPr>
      <w:t xml:space="preserve">BrokerLink Incident Response Plan  |  Page </w:t>
    </w:r>
    <w:r>
      <w:rPr>
        <w:rFonts w:ascii="Arial" w:cs="Arial" w:eastAsia="Arial" w:hAnsi="Arial"/>
        <w:sz w:val="16"/>
        <w:szCs w:val="16"/>
      </w:rPr>
      <w:fldChar w:fldCharType="begin"/>
      <w:instrText xml:space="preserve">PAGE</w:instrText>
      <w:fldChar w:fldCharType="separate"/>
      <w:fldChar w:fldCharType="end"/>
    </w:r>
    <w:r>
      <w:rPr>
        <w:rFonts w:ascii="Arial" w:cs="Arial" w:eastAsia="Arial" w:hAnsi="Arial"/>
        <w:sz w:val="16"/>
        <w:szCs w:val="16"/>
      </w:rPr>
      <w:t xml:space="preserve"> of </w:t>
    </w:r>
    <w:r>
      <w:rPr>
        <w:rFonts w:ascii="Arial" w:cs="Arial" w:eastAsia="Arial" w:hAnsi="Arial"/>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b/>
        <w:bCs/>
        <w:i/>
        <w:iCs/>
        <w:color w:val="CC0000"/>
        <w:sz w:val="18"/>
        <w:szCs w:val="18"/>
      </w:rPr>
      <w:t xml:space="preserve">CONFIDENTIAL</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2026-03-23T22:22:48.788Z</dcterms:created>
  <dcterms:modified xsi:type="dcterms:W3CDTF">2026-03-23T22:22:48.788Z</dcterms:modified>
</cp:coreProperties>
</file>

<file path=docProps/custom.xml><?xml version="1.0" encoding="utf-8"?>
<Properties xmlns="http://schemas.openxmlformats.org/officeDocument/2006/custom-properties" xmlns:vt="http://schemas.openxmlformats.org/officeDocument/2006/docPropsVTypes"/>
</file>