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pPr>
    </w:p>
    <w:p>
      <w:pPr>
        <w:jc w:val="center"/>
      </w:pPr>
      <w:r>
        <w:rPr>
          <w:rFonts w:ascii="Arial" w:cs="Arial" w:eastAsia="Arial" w:hAnsi="Arial"/>
          <w:b/>
          <w:bCs/>
          <w:color w:val="1B3A5C"/>
          <w:sz w:val="48"/>
          <w:szCs w:val="48"/>
        </w:rPr>
        <w:t xml:space="preserve">PRIVACY IMPACT ASSESSMENT</w:t>
      </w:r>
    </w:p>
    <w:p>
      <w:pPr>
        <w:spacing w:before="200"/>
        <w:jc w:val="center"/>
      </w:pPr>
      <w:r>
        <w:rPr>
          <w:rFonts w:ascii="Arial" w:cs="Arial" w:eastAsia="Arial" w:hAnsi="Arial"/>
          <w:color w:val="1B3A5C"/>
          <w:sz w:val="36"/>
          <w:szCs w:val="36"/>
        </w:rPr>
        <w:t>HPS AgentLink Broker Portal</w:t>
      </w:r>
    </w:p>
    <w:p>
      <w:pPr>
        <w:spacing w:before="400"/>
        <w:jc w:val="center"/>
      </w:pPr>
      <w:r>
        <w:rPr>
          <w:rFonts w:ascii="Arial" w:cs="Arial" w:eastAsia="Arial" w:hAnsi="Arial"/>
          <w:i/>
          <w:iCs/>
          <w:sz w:val="28"/>
          <w:szCs w:val="28"/>
        </w:rPr>
        <w:t xml:space="preserve">Enhanced Direct Enrollment (EDE) Platform</w:t>
      </w:r>
    </w:p>
    <w:p>
      <w:pPr>
        <w:spacing w:before="600"/>
        <w:jc w:val="center"/>
      </w:pPr>
      <w:r>
        <w:rPr>
          <w:rFonts w:ascii="Arial" w:cs="Arial" w:eastAsia="Arial" w:hAnsi="Arial"/>
          <w:sz w:val="24"/>
          <w:szCs w:val="24"/>
        </w:rPr>
        <w:t xml:space="preserve">Version 1.0  |  March 2026</w:t>
      </w:r>
    </w:p>
    <w:p>
      <w:pPr>
        <w:spacing w:before="200"/>
        <w:jc w:val="center"/>
      </w:pPr>
      <w:r>
        <w:rPr>
          <w:rFonts w:ascii="Arial" w:cs="Arial" w:eastAsia="Arial" w:hAnsi="Arial"/>
          <w:b/>
          <w:bCs/>
          <w:color w:val="CC0000"/>
          <w:sz w:val="22"/>
          <w:szCs w:val="22"/>
        </w:rPr>
        <w:t xml:space="preserve">Classification: CONFIDENTIAL</w:t>
      </w:r>
    </w:p>
    <w:p>
      <w:pPr>
        <w:spacing w:before="80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rPr>
          <w:tblHeader/>
        </w:trPr>
        <w:tc>
          <w:tcPr>
            <w:tcW w:type="pct" w:w="50%"/>
            <w:shd w:color="1B3A5C" w:val="solid"/>
          </w:tcPr>
          <w:p>
            <w:r>
              <w:rPr>
                <w:rFonts w:ascii="Arial" w:cs="Arial" w:eastAsia="Arial" w:hAnsi="Arial"/>
                <w:b/>
                <w:bCs/>
                <w:color w:val="FFFFFF"/>
                <w:sz w:val="20"/>
                <w:szCs w:val="20"/>
              </w:rPr>
              <w:t xml:space="preserve">Field</w:t>
            </w:r>
          </w:p>
        </w:tc>
        <w:tc>
          <w:tcPr>
            <w:tcW w:type="pct" w:w="50%"/>
            <w:shd w:color="1B3A5C" w:val="solid"/>
          </w:tcPr>
          <w:p>
            <w:r>
              <w:rPr>
                <w:rFonts w:ascii="Arial" w:cs="Arial" w:eastAsia="Arial" w:hAnsi="Arial"/>
                <w:b/>
                <w:bCs/>
                <w:color w:val="FFFFFF"/>
                <w:sz w:val="20"/>
                <w:szCs w:val="20"/>
              </w:rPr>
              <w:t xml:space="preserve">Value</w:t>
            </w:r>
          </w:p>
        </w:tc>
      </w:tr>
      <w:tr>
        <w:tc>
          <w:p>
            <w:r>
              <w:rPr>
                <w:rFonts w:ascii="Arial" w:cs="Arial" w:eastAsia="Arial" w:hAnsi="Arial"/>
                <w:sz w:val="20"/>
                <w:szCs w:val="20"/>
              </w:rPr>
              <w:t xml:space="preserve">Document Owner</w:t>
            </w:r>
          </w:p>
        </w:tc>
        <w:tc>
          <w:p>
            <w:r>
              <w:rPr>
                <w:rFonts w:ascii="Arial" w:cs="Arial" w:eastAsia="Arial" w:hAnsi="Arial"/>
                <w:sz w:val="20"/>
                <w:szCs w:val="20"/>
              </w:rPr>
              <w:t>HPS AgentLink Privacy Officer</w:t>
            </w:r>
          </w:p>
        </w:tc>
      </w:tr>
      <w:tr>
        <w:tc>
          <w:p>
            <w:r>
              <w:rPr>
                <w:rFonts w:ascii="Arial" w:cs="Arial" w:eastAsia="Arial" w:hAnsi="Arial"/>
                <w:sz w:val="20"/>
                <w:szCs w:val="20"/>
              </w:rPr>
              <w:t xml:space="preserve">Version</w:t>
            </w:r>
          </w:p>
        </w:tc>
        <w:tc>
          <w:p>
            <w:r>
              <w:rPr>
                <w:rFonts w:ascii="Arial" w:cs="Arial" w:eastAsia="Arial" w:hAnsi="Arial"/>
                <w:sz w:val="20"/>
                <w:szCs w:val="20"/>
              </w:rPr>
              <w:t xml:space="preserve">1.0</w:t>
            </w:r>
          </w:p>
        </w:tc>
      </w:tr>
      <w:tr>
        <w:tc>
          <w:p>
            <w:r>
              <w:rPr>
                <w:rFonts w:ascii="Arial" w:cs="Arial" w:eastAsia="Arial" w:hAnsi="Arial"/>
                <w:sz w:val="20"/>
                <w:szCs w:val="20"/>
              </w:rPr>
              <w:t xml:space="preserve">Date</w:t>
            </w:r>
          </w:p>
        </w:tc>
        <w:tc>
          <w:p>
            <w:r>
              <w:rPr>
                <w:rFonts w:ascii="Arial" w:cs="Arial" w:eastAsia="Arial" w:hAnsi="Arial"/>
                <w:sz w:val="20"/>
                <w:szCs w:val="20"/>
              </w:rPr>
              <w:t xml:space="preserve">March 23, 2026</w:t>
            </w:r>
          </w:p>
        </w:tc>
      </w:tr>
      <w:tr>
        <w:tc>
          <w:p>
            <w:r>
              <w:rPr>
                <w:rFonts w:ascii="Arial" w:cs="Arial" w:eastAsia="Arial" w:hAnsi="Arial"/>
                <w:sz w:val="20"/>
                <w:szCs w:val="20"/>
              </w:rPr>
              <w:t xml:space="preserve">Review Cycle</w:t>
            </w:r>
          </w:p>
        </w:tc>
        <w:tc>
          <w:p>
            <w:r>
              <w:rPr>
                <w:rFonts w:ascii="Arial" w:cs="Arial" w:eastAsia="Arial" w:hAnsi="Arial"/>
                <w:sz w:val="20"/>
                <w:szCs w:val="20"/>
              </w:rPr>
              <w:t xml:space="preserve">Annual or upon significant system change</w:t>
            </w:r>
          </w:p>
        </w:tc>
      </w:tr>
      <w:tr>
        <w:tc>
          <w:p>
            <w:r>
              <w:rPr>
                <w:rFonts w:ascii="Arial" w:cs="Arial" w:eastAsia="Arial" w:hAnsi="Arial"/>
                <w:sz w:val="20"/>
                <w:szCs w:val="20"/>
              </w:rPr>
              <w:t xml:space="preserve">Classification</w:t>
            </w:r>
          </w:p>
        </w:tc>
        <w:tc>
          <w:p>
            <w:r>
              <w:rPr>
                <w:rFonts w:ascii="Arial" w:cs="Arial" w:eastAsia="Arial" w:hAnsi="Arial"/>
                <w:sz w:val="20"/>
                <w:szCs w:val="20"/>
              </w:rPr>
              <w:t xml:space="preserve">Confidential</w:t>
            </w:r>
          </w:p>
        </w:tc>
      </w:tr>
      <w:tr>
        <w:tc>
          <w:p>
            <w:r>
              <w:rPr>
                <w:rFonts w:ascii="Arial" w:cs="Arial" w:eastAsia="Arial" w:hAnsi="Arial"/>
                <w:sz w:val="20"/>
                <w:szCs w:val="20"/>
              </w:rPr>
              <w:t xml:space="preserve">Applicable Regulations</w:t>
            </w:r>
          </w:p>
        </w:tc>
        <w:tc>
          <w:p>
            <w:r>
              <w:rPr>
                <w:rFonts w:ascii="Arial" w:cs="Arial" w:eastAsia="Arial" w:hAnsi="Arial"/>
                <w:sz w:val="20"/>
                <w:szCs w:val="20"/>
              </w:rPr>
              <w:t xml:space="preserve">HIPAA, 45 CFR 155.260, IRS Pub 1075, CMS EDE Requirements</w:t>
            </w:r>
          </w:p>
        </w:tc>
      </w:tr>
    </w:tbl>
    <w:p>
      <w:r>
        <w:br w:type="page"/>
      </w:r>
    </w:p>
    <w:p>
      <w:pPr>
        <w:pStyle w:val="Heading1"/>
        <w:spacing w:after="120" w:before="300"/>
      </w:pPr>
      <w:r>
        <w:rPr>
          <w:rFonts w:ascii="Arial" w:cs="Arial" w:eastAsia="Arial" w:hAnsi="Arial"/>
          <w:b/>
          <w:bCs/>
          <w:color w:val="1B3A5C"/>
          <w:sz w:val="32"/>
          <w:szCs w:val="32"/>
        </w:rPr>
        <w:t xml:space="preserve">1. System Overview</w:t>
      </w:r>
    </w:p>
    <w:p>
      <w:pPr>
        <w:spacing w:after="120"/>
        <w:jc w:val="both"/>
      </w:pPr>
      <w:r>
        <w:rPr>
          <w:rFonts w:ascii="Arial" w:cs="Arial" w:eastAsia="Arial" w:hAnsi="Arial"/>
          <w:b w:val="false"/>
          <w:bCs w:val="false"/>
          <w:i w:val="false"/>
          <w:iCs w:val="false"/>
          <w:sz w:val="22"/>
          <w:szCs w:val="22"/>
        </w:rPr>
        <w:t>The HPS AgentLink Broker Portal is an Enhanced Direct Enrollment (EDE) platform designed to facilitate health insurance enrollment through the Federally-Facilitated Exchange (FFE). Operating as a Primary EDE Entity, HPS AgentLink enables licensed health insurance agents and brokers to assist consumers in shopping for, comparing, and enrolling in Qualified Health Plans (QHPs) available through HealthCare.gov.</w:t>
      </w:r>
    </w:p>
    <w:p>
      <w:pPr>
        <w:spacing w:after="120"/>
        <w:jc w:val="both"/>
      </w:pPr>
      <w:r>
        <w:rPr>
          <w:rFonts w:ascii="Arial" w:cs="Arial" w:eastAsia="Arial" w:hAnsi="Arial"/>
          <w:b w:val="false"/>
          <w:bCs w:val="false"/>
          <w:i w:val="false"/>
          <w:iCs w:val="false"/>
          <w:sz w:val="22"/>
          <w:szCs w:val="22"/>
        </w:rPr>
        <w:t xml:space="preserve">The system is built on a Next.js application framework with 27 Prisma data models, utilizing NextAuth.js for authentication. It is deployed in a Tampa, FL data center operating under HITRUST, PCI DSS, and SOC 2 Type II compliance frameworks. The platform interfaces with CMS systems via the EDE API for eligibility determination, plan display, and enrollment submission.</w:t>
      </w:r>
    </w:p>
    <w:p>
      <w:pPr>
        <w:spacing w:after="120"/>
        <w:jc w:val="both"/>
      </w:pPr>
      <w:r>
        <w:rPr>
          <w:rFonts w:ascii="Arial" w:cs="Arial" w:eastAsia="Arial" w:hAnsi="Arial"/>
          <w:b w:val="false"/>
          <w:bCs w:val="false"/>
          <w:i w:val="false"/>
          <w:iCs w:val="false"/>
          <w:sz w:val="22"/>
          <w:szCs w:val="22"/>
        </w:rPr>
        <w:t xml:space="preserve">Key system components include:</w:t>
      </w:r>
    </w:p>
    <w:p>
      <w:pPr>
        <w:pStyle w:val="ListParagraph"/>
        <w:numPr>
          <w:ilvl w:val="0"/>
          <w:numId w:val="1"/>
        </w:numPr>
        <w:spacing w:after="60"/>
      </w:pPr>
      <w:r>
        <w:rPr>
          <w:rFonts w:ascii="Arial" w:cs="Arial" w:eastAsia="Arial" w:hAnsi="Arial"/>
          <w:sz w:val="22"/>
          <w:szCs w:val="22"/>
        </w:rPr>
        <w:t xml:space="preserve">Broker Portal web application (Next.js with server-side rendering)</w:t>
      </w:r>
    </w:p>
    <w:p>
      <w:pPr>
        <w:pStyle w:val="ListParagraph"/>
        <w:numPr>
          <w:ilvl w:val="0"/>
          <w:numId w:val="1"/>
        </w:numPr>
        <w:spacing w:after="60"/>
      </w:pPr>
      <w:r>
        <w:rPr>
          <w:rFonts w:ascii="Arial" w:cs="Arial" w:eastAsia="Arial" w:hAnsi="Arial"/>
          <w:sz w:val="22"/>
          <w:szCs w:val="22"/>
        </w:rPr>
        <w:t>On-premises PostgreSQL database with row-level security</w:t>
      </w:r>
    </w:p>
    <w:p>
      <w:pPr>
        <w:pStyle w:val="ListParagraph"/>
        <w:numPr>
          <w:ilvl w:val="0"/>
          <w:numId w:val="1"/>
        </w:numPr>
        <w:spacing w:after="60"/>
      </w:pPr>
      <w:r>
        <w:rPr>
          <w:rFonts w:ascii="Arial" w:cs="Arial" w:eastAsia="Arial" w:hAnsi="Arial"/>
          <w:sz w:val="22"/>
          <w:szCs w:val="22"/>
        </w:rPr>
        <w:t xml:space="preserve">EDE API integration for CMS data exchange</w:t>
      </w:r>
    </w:p>
    <w:p>
      <w:pPr>
        <w:pStyle w:val="ListParagraph"/>
        <w:numPr>
          <w:ilvl w:val="0"/>
          <w:numId w:val="1"/>
        </w:numPr>
        <w:spacing w:after="60"/>
      </w:pPr>
      <w:r>
        <w:rPr>
          <w:rFonts w:ascii="Arial" w:cs="Arial" w:eastAsia="Arial" w:hAnsi="Arial"/>
          <w:sz w:val="22"/>
          <w:szCs w:val="22"/>
        </w:rPr>
        <w:t xml:space="preserve">EDI 834 transaction processing for carrier enrollment</w:t>
      </w:r>
    </w:p>
    <w:p>
      <w:pPr>
        <w:pStyle w:val="ListParagraph"/>
        <w:numPr>
          <w:ilvl w:val="0"/>
          <w:numId w:val="1"/>
        </w:numPr>
        <w:spacing w:after="60"/>
      </w:pPr>
      <w:r>
        <w:rPr>
          <w:rFonts w:ascii="Arial" w:cs="Arial" w:eastAsia="Arial" w:hAnsi="Arial"/>
          <w:sz w:val="22"/>
          <w:szCs w:val="22"/>
        </w:rPr>
        <w:t xml:space="preserve">Encryption service for sensitive data fields (SSN, FTI)</w:t>
      </w:r>
    </w:p>
    <w:p>
      <w:pPr>
        <w:pStyle w:val="ListParagraph"/>
        <w:numPr>
          <w:ilvl w:val="0"/>
          <w:numId w:val="1"/>
        </w:numPr>
        <w:spacing w:after="60"/>
      </w:pPr>
      <w:r>
        <w:rPr>
          <w:rFonts w:ascii="Arial" w:cs="Arial" w:eastAsia="Arial" w:hAnsi="Arial"/>
          <w:sz w:val="22"/>
          <w:szCs w:val="22"/>
        </w:rPr>
        <w:t xml:space="preserve">Comprehensive audit logging and monitoring subsystem</w:t>
      </w:r>
    </w:p>
    <w:p>
      <w:pPr>
        <w:pStyle w:val="ListParagraph"/>
        <w:numPr>
          <w:ilvl w:val="0"/>
          <w:numId w:val="1"/>
        </w:numPr>
        <w:spacing w:after="60"/>
      </w:pPr>
      <w:r>
        <w:rPr>
          <w:rFonts w:ascii="Arial" w:cs="Arial" w:eastAsia="Arial" w:hAnsi="Arial"/>
          <w:sz w:val="22"/>
          <w:szCs w:val="22"/>
        </w:rPr>
        <w:t xml:space="preserve">Document management system for consumer verification materials</w:t>
      </w:r>
    </w:p>
    <w:p>
      <w:pPr>
        <w:pStyle w:val="Heading1"/>
        <w:spacing w:after="120" w:before="300"/>
      </w:pPr>
      <w:r>
        <w:rPr>
          <w:rFonts w:ascii="Arial" w:cs="Arial" w:eastAsia="Arial" w:hAnsi="Arial"/>
          <w:b/>
          <w:bCs/>
          <w:color w:val="1B3A5C"/>
          <w:sz w:val="32"/>
          <w:szCs w:val="32"/>
        </w:rPr>
        <w:t xml:space="preserve">2. Data Collection</w:t>
      </w:r>
    </w:p>
    <w:p>
      <w:pPr>
        <w:spacing w:after="120"/>
        <w:jc w:val="both"/>
      </w:pPr>
      <w:r>
        <w:rPr>
          <w:rFonts w:ascii="Arial" w:cs="Arial" w:eastAsia="Arial" w:hAnsi="Arial"/>
          <w:b w:val="false"/>
          <w:bCs w:val="false"/>
          <w:i w:val="false"/>
          <w:iCs w:val="false"/>
          <w:sz w:val="22"/>
          <w:szCs w:val="22"/>
        </w:rPr>
        <w:t>The HPS AgentLink Broker Portal collects, processes, and stores various categories of sensitive personal information necessary for health insurance enrollment through the FFE. The following table details each data category:</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rPr>
          <w:tblHeader/>
        </w:trPr>
        <w:tc>
          <w:tcPr>
            <w:tcW w:type="pct" w:w="25%"/>
            <w:shd w:color="1B3A5C" w:val="solid"/>
          </w:tcPr>
          <w:p>
            <w:r>
              <w:rPr>
                <w:rFonts w:ascii="Arial" w:cs="Arial" w:eastAsia="Arial" w:hAnsi="Arial"/>
                <w:b/>
                <w:bCs/>
                <w:color w:val="FFFFFF"/>
                <w:sz w:val="20"/>
                <w:szCs w:val="20"/>
              </w:rPr>
              <w:t xml:space="preserve">Data Category</w:t>
            </w:r>
          </w:p>
        </w:tc>
        <w:tc>
          <w:tcPr>
            <w:tcW w:type="pct" w:w="25%"/>
            <w:shd w:color="1B3A5C" w:val="solid"/>
          </w:tcPr>
          <w:p>
            <w:r>
              <w:rPr>
                <w:rFonts w:ascii="Arial" w:cs="Arial" w:eastAsia="Arial" w:hAnsi="Arial"/>
                <w:b/>
                <w:bCs/>
                <w:color w:val="FFFFFF"/>
                <w:sz w:val="20"/>
                <w:szCs w:val="20"/>
              </w:rPr>
              <w:t xml:space="preserve">Specific Elements</w:t>
            </w:r>
          </w:p>
        </w:tc>
        <w:tc>
          <w:tcPr>
            <w:tcW w:type="pct" w:w="25%"/>
            <w:shd w:color="1B3A5C" w:val="solid"/>
          </w:tcPr>
          <w:p>
            <w:r>
              <w:rPr>
                <w:rFonts w:ascii="Arial" w:cs="Arial" w:eastAsia="Arial" w:hAnsi="Arial"/>
                <w:b/>
                <w:bCs/>
                <w:color w:val="FFFFFF"/>
                <w:sz w:val="20"/>
                <w:szCs w:val="20"/>
              </w:rPr>
              <w:t xml:space="preserve">Collection Method</w:t>
            </w:r>
          </w:p>
        </w:tc>
        <w:tc>
          <w:tcPr>
            <w:tcW w:type="pct" w:w="25%"/>
            <w:shd w:color="1B3A5C" w:val="solid"/>
          </w:tcPr>
          <w:p>
            <w:r>
              <w:rPr>
                <w:rFonts w:ascii="Arial" w:cs="Arial" w:eastAsia="Arial" w:hAnsi="Arial"/>
                <w:b/>
                <w:bCs/>
                <w:color w:val="FFFFFF"/>
                <w:sz w:val="20"/>
                <w:szCs w:val="20"/>
              </w:rPr>
              <w:t xml:space="preserve">Legal Basis</w:t>
            </w:r>
          </w:p>
        </w:tc>
      </w:tr>
      <w:tr>
        <w:tc>
          <w:p>
            <w:r>
              <w:rPr>
                <w:rFonts w:ascii="Arial" w:cs="Arial" w:eastAsia="Arial" w:hAnsi="Arial"/>
                <w:sz w:val="20"/>
                <w:szCs w:val="20"/>
              </w:rPr>
              <w:t xml:space="preserve">Personally Identifiable Information (PII)</w:t>
            </w:r>
          </w:p>
        </w:tc>
        <w:tc>
          <w:p>
            <w:r>
              <w:rPr>
                <w:rFonts w:ascii="Arial" w:cs="Arial" w:eastAsia="Arial" w:hAnsi="Arial"/>
                <w:sz w:val="20"/>
                <w:szCs w:val="20"/>
              </w:rPr>
              <w:t xml:space="preserve">Full legal name, date of birth, Social Security Number (SSN), mailing address, email address, phone number</w:t>
            </w:r>
          </w:p>
        </w:tc>
        <w:tc>
          <w:p>
            <w:r>
              <w:rPr>
                <w:rFonts w:ascii="Arial" w:cs="Arial" w:eastAsia="Arial" w:hAnsi="Arial"/>
                <w:sz w:val="20"/>
                <w:szCs w:val="20"/>
              </w:rPr>
              <w:t xml:space="preserve">Direct consumer input via broker-assisted enrollment forms</w:t>
            </w:r>
          </w:p>
        </w:tc>
        <w:tc>
          <w:p>
            <w:r>
              <w:rPr>
                <w:rFonts w:ascii="Arial" w:cs="Arial" w:eastAsia="Arial" w:hAnsi="Arial"/>
                <w:sz w:val="20"/>
                <w:szCs w:val="20"/>
              </w:rPr>
              <w:t xml:space="preserve">45 CFR 155.310(a) -- Application requirements</w:t>
            </w:r>
          </w:p>
        </w:tc>
      </w:tr>
      <w:tr>
        <w:tc>
          <w:p>
            <w:r>
              <w:rPr>
                <w:rFonts w:ascii="Arial" w:cs="Arial" w:eastAsia="Arial" w:hAnsi="Arial"/>
                <w:sz w:val="20"/>
                <w:szCs w:val="20"/>
              </w:rPr>
              <w:t xml:space="preserve">Protected Health Information (PHI)</w:t>
            </w:r>
          </w:p>
        </w:tc>
        <w:tc>
          <w:p>
            <w:r>
              <w:rPr>
                <w:rFonts w:ascii="Arial" w:cs="Arial" w:eastAsia="Arial" w:hAnsi="Arial"/>
                <w:sz w:val="20"/>
                <w:szCs w:val="20"/>
              </w:rPr>
              <w:t xml:space="preserve">Health plan selections, enrollment status, eligibility determination results, special enrollment period qualifications</w:t>
            </w:r>
          </w:p>
        </w:tc>
        <w:tc>
          <w:p>
            <w:r>
              <w:rPr>
                <w:rFonts w:ascii="Arial" w:cs="Arial" w:eastAsia="Arial" w:hAnsi="Arial"/>
                <w:sz w:val="20"/>
                <w:szCs w:val="20"/>
              </w:rPr>
              <w:t xml:space="preserve">CMS EDE API responses, consumer selections during plan shopping</w:t>
            </w:r>
          </w:p>
        </w:tc>
        <w:tc>
          <w:p>
            <w:r>
              <w:rPr>
                <w:rFonts w:ascii="Arial" w:cs="Arial" w:eastAsia="Arial" w:hAnsi="Arial"/>
                <w:sz w:val="20"/>
                <w:szCs w:val="20"/>
              </w:rPr>
              <w:t xml:space="preserve">45 CFR 155.260 -- Privacy and security of personally identifiable information</w:t>
            </w:r>
          </w:p>
        </w:tc>
      </w:tr>
      <w:tr>
        <w:tc>
          <w:p>
            <w:r>
              <w:rPr>
                <w:rFonts w:ascii="Arial" w:cs="Arial" w:eastAsia="Arial" w:hAnsi="Arial"/>
                <w:sz w:val="20"/>
                <w:szCs w:val="20"/>
              </w:rPr>
              <w:t xml:space="preserve">Federal Tax Information (FTI)</w:t>
            </w:r>
          </w:p>
        </w:tc>
        <w:tc>
          <w:p>
            <w:r>
              <w:rPr>
                <w:rFonts w:ascii="Arial" w:cs="Arial" w:eastAsia="Arial" w:hAnsi="Arial"/>
                <w:sz w:val="20"/>
                <w:szCs w:val="20"/>
              </w:rPr>
              <w:t xml:space="preserve">Adjusted gross income, tax filing status, household composition for APTC determination, employer coverage information</w:t>
            </w:r>
          </w:p>
        </w:tc>
        <w:tc>
          <w:p>
            <w:r>
              <w:rPr>
                <w:rFonts w:ascii="Arial" w:cs="Arial" w:eastAsia="Arial" w:hAnsi="Arial"/>
                <w:sz w:val="20"/>
                <w:szCs w:val="20"/>
              </w:rPr>
              <w:t xml:space="preserve">Consumer attestation and IRS data hub verification via CMS API</w:t>
            </w:r>
          </w:p>
        </w:tc>
        <w:tc>
          <w:p>
            <w:r>
              <w:rPr>
                <w:rFonts w:ascii="Arial" w:cs="Arial" w:eastAsia="Arial" w:hAnsi="Arial"/>
                <w:sz w:val="20"/>
                <w:szCs w:val="20"/>
              </w:rPr>
              <w:t xml:space="preserve">IRS Publication 1075, 26 USC 6103</w:t>
            </w:r>
          </w:p>
        </w:tc>
      </w:tr>
      <w:tr>
        <w:tc>
          <w:p>
            <w:r>
              <w:rPr>
                <w:rFonts w:ascii="Arial" w:cs="Arial" w:eastAsia="Arial" w:hAnsi="Arial"/>
                <w:sz w:val="20"/>
                <w:szCs w:val="20"/>
              </w:rPr>
              <w:t xml:space="preserve">Medicare Information</w:t>
            </w:r>
          </w:p>
        </w:tc>
        <w:tc>
          <w:p>
            <w:r>
              <w:rPr>
                <w:rFonts w:ascii="Arial" w:cs="Arial" w:eastAsia="Arial" w:hAnsi="Arial"/>
                <w:sz w:val="20"/>
                <w:szCs w:val="20"/>
              </w:rPr>
              <w:t xml:space="preserve">Medicare Beneficiary Identifier (MBI), Medicare enrollment status, Part A/B coverage dates</w:t>
            </w:r>
          </w:p>
        </w:tc>
        <w:tc>
          <w:p>
            <w:r>
              <w:rPr>
                <w:rFonts w:ascii="Arial" w:cs="Arial" w:eastAsia="Arial" w:hAnsi="Arial"/>
                <w:sz w:val="20"/>
                <w:szCs w:val="20"/>
              </w:rPr>
              <w:t xml:space="preserve">Consumer self-attestation and CMS verification</w:t>
            </w:r>
          </w:p>
        </w:tc>
        <w:tc>
          <w:p>
            <w:r>
              <w:rPr>
                <w:rFonts w:ascii="Arial" w:cs="Arial" w:eastAsia="Arial" w:hAnsi="Arial"/>
                <w:sz w:val="20"/>
                <w:szCs w:val="20"/>
              </w:rPr>
              <w:t xml:space="preserve">CMS EDE Requirements, 42 CFR Part 2</w:t>
            </w:r>
          </w:p>
        </w:tc>
      </w:tr>
      <w:tr>
        <w:tc>
          <w:p>
            <w:r>
              <w:rPr>
                <w:rFonts w:ascii="Arial" w:cs="Arial" w:eastAsia="Arial" w:hAnsi="Arial"/>
                <w:sz w:val="20"/>
                <w:szCs w:val="20"/>
              </w:rPr>
              <w:t xml:space="preserve">Broker/Agent Information</w:t>
            </w:r>
          </w:p>
        </w:tc>
        <w:tc>
          <w:p>
            <w:r>
              <w:rPr>
                <w:rFonts w:ascii="Arial" w:cs="Arial" w:eastAsia="Arial" w:hAnsi="Arial"/>
                <w:sz w:val="20"/>
                <w:szCs w:val="20"/>
              </w:rPr>
              <w:t xml:space="preserve">National Producer Number (NPN), license information, agency affiliation, commission records</w:t>
            </w:r>
          </w:p>
        </w:tc>
        <w:tc>
          <w:p>
            <w:r>
              <w:rPr>
                <w:rFonts w:ascii="Arial" w:cs="Arial" w:eastAsia="Arial" w:hAnsi="Arial"/>
                <w:sz w:val="20"/>
                <w:szCs w:val="20"/>
              </w:rPr>
              <w:t xml:space="preserve">Agent registration and NPN verification</w:t>
            </w:r>
          </w:p>
        </w:tc>
        <w:tc>
          <w:p>
            <w:r>
              <w:rPr>
                <w:rFonts w:ascii="Arial" w:cs="Arial" w:eastAsia="Arial" w:hAnsi="Arial"/>
                <w:sz w:val="20"/>
                <w:szCs w:val="20"/>
              </w:rPr>
              <w:t xml:space="preserve">45 CFR 155.220 -- Agent and broker standards</w:t>
            </w:r>
          </w:p>
        </w:tc>
      </w:tr>
      <w:tr>
        <w:tc>
          <w:p>
            <w:r>
              <w:rPr>
                <w:rFonts w:ascii="Arial" w:cs="Arial" w:eastAsia="Arial" w:hAnsi="Arial"/>
                <w:sz w:val="20"/>
                <w:szCs w:val="20"/>
              </w:rPr>
              <w:t xml:space="preserve">Consent Records</w:t>
            </w:r>
          </w:p>
        </w:tc>
        <w:tc>
          <w:p>
            <w:r>
              <w:rPr>
                <w:rFonts w:ascii="Arial" w:cs="Arial" w:eastAsia="Arial" w:hAnsi="Arial"/>
                <w:sz w:val="20"/>
                <w:szCs w:val="20"/>
              </w:rPr>
              <w:t xml:space="preserve">Explicit consent for EDE enrollment, broker authorization, communication preferences, consent timestamps</w:t>
            </w:r>
          </w:p>
        </w:tc>
        <w:tc>
          <w:p>
            <w:r>
              <w:rPr>
                <w:rFonts w:ascii="Arial" w:cs="Arial" w:eastAsia="Arial" w:hAnsi="Arial"/>
                <w:sz w:val="20"/>
                <w:szCs w:val="20"/>
              </w:rPr>
              <w:t xml:space="preserve">Digital consent capture (click-through, recorded verbal, three-way call)</w:t>
            </w:r>
          </w:p>
        </w:tc>
        <w:tc>
          <w:p>
            <w:r>
              <w:rPr>
                <w:rFonts w:ascii="Arial" w:cs="Arial" w:eastAsia="Arial" w:hAnsi="Arial"/>
                <w:sz w:val="20"/>
                <w:szCs w:val="20"/>
              </w:rPr>
              <w:t xml:space="preserve">C-CMS-02 Consumer Consent Requirements</w:t>
            </w:r>
          </w:p>
        </w:tc>
      </w:tr>
    </w:tbl>
    <w:p>
      <w:pPr>
        <w:spacing w:before="200"/>
      </w:pPr>
    </w:p>
    <w:p>
      <w:pPr>
        <w:spacing w:after="120"/>
        <w:jc w:val="both"/>
      </w:pPr>
      <w:r>
        <w:rPr>
          <w:rFonts w:ascii="Arial" w:cs="Arial" w:eastAsia="Arial" w:hAnsi="Arial"/>
          <w:b w:val="false"/>
          <w:bCs w:val="false"/>
          <w:i/>
          <w:iCs/>
          <w:sz w:val="22"/>
          <w:szCs w:val="22"/>
        </w:rPr>
        <w:t xml:space="preserve">Data Minimization: The system collects only the minimum data elements necessary to complete eligibility determination and enrollment through the FFE. Fields not required for the specific transaction type are not collected or stored.</w:t>
      </w:r>
    </w:p>
    <w:p>
      <w:pPr>
        <w:pStyle w:val="Heading1"/>
        <w:spacing w:after="120" w:before="300"/>
      </w:pPr>
      <w:r>
        <w:rPr>
          <w:rFonts w:ascii="Arial" w:cs="Arial" w:eastAsia="Arial" w:hAnsi="Arial"/>
          <w:b/>
          <w:bCs/>
          <w:color w:val="1B3A5C"/>
          <w:sz w:val="32"/>
          <w:szCs w:val="32"/>
        </w:rPr>
        <w:t xml:space="preserve">3. Data Use</w:t>
      </w:r>
    </w:p>
    <w:p>
      <w:pPr>
        <w:spacing w:after="120"/>
        <w:jc w:val="both"/>
      </w:pPr>
      <w:r>
        <w:rPr>
          <w:rFonts w:ascii="Arial" w:cs="Arial" w:eastAsia="Arial" w:hAnsi="Arial"/>
          <w:b w:val="false"/>
          <w:bCs w:val="false"/>
          <w:i w:val="false"/>
          <w:iCs w:val="false"/>
          <w:sz w:val="22"/>
          <w:szCs w:val="22"/>
        </w:rPr>
        <w:t xml:space="preserve">Collected data is used exclusively for purposes directly related to health insurance enrollment and administration through the FFE:</w:t>
      </w:r>
    </w:p>
    <w:p>
      <w:pPr>
        <w:pStyle w:val="Heading2"/>
        <w:spacing w:after="120" w:before="300"/>
      </w:pPr>
      <w:r>
        <w:rPr>
          <w:rFonts w:ascii="Arial" w:cs="Arial" w:eastAsia="Arial" w:hAnsi="Arial"/>
          <w:b/>
          <w:bCs/>
          <w:color w:val="1B3A5C"/>
          <w:sz w:val="26"/>
          <w:szCs w:val="26"/>
        </w:rPr>
        <w:t xml:space="preserve">3.1 Primary Uses</w:t>
      </w:r>
    </w:p>
    <w:p>
      <w:pPr>
        <w:pStyle w:val="ListParagraph"/>
        <w:numPr>
          <w:ilvl w:val="0"/>
          <w:numId w:val="1"/>
        </w:numPr>
        <w:spacing w:after="60"/>
      </w:pPr>
      <w:r>
        <w:rPr>
          <w:rFonts w:ascii="Arial" w:cs="Arial" w:eastAsia="Arial" w:hAnsi="Arial"/>
          <w:sz w:val="22"/>
          <w:szCs w:val="22"/>
        </w:rPr>
        <w:t xml:space="preserve">Eligibility Determination: Consumer PII and FTI are transmitted to CMS via the EDE API to determine eligibility for QHPs, APTC, and CSR subsidies.</w:t>
      </w:r>
    </w:p>
    <w:p>
      <w:pPr>
        <w:pStyle w:val="ListParagraph"/>
        <w:numPr>
          <w:ilvl w:val="0"/>
          <w:numId w:val="1"/>
        </w:numPr>
        <w:spacing w:after="60"/>
      </w:pPr>
      <w:r>
        <w:rPr>
          <w:rFonts w:ascii="Arial" w:cs="Arial" w:eastAsia="Arial" w:hAnsi="Arial"/>
          <w:sz w:val="22"/>
          <w:szCs w:val="22"/>
        </w:rPr>
        <w:t xml:space="preserve">Plan Shopping and Comparison: Eligibility results are used to display available plans with accurate premium and cost-sharing information.</w:t>
      </w:r>
    </w:p>
    <w:p>
      <w:pPr>
        <w:pStyle w:val="ListParagraph"/>
        <w:numPr>
          <w:ilvl w:val="0"/>
          <w:numId w:val="1"/>
        </w:numPr>
        <w:spacing w:after="60"/>
      </w:pPr>
      <w:r>
        <w:rPr>
          <w:rFonts w:ascii="Arial" w:cs="Arial" w:eastAsia="Arial" w:hAnsi="Arial"/>
          <w:sz w:val="22"/>
          <w:szCs w:val="22"/>
        </w:rPr>
        <w:t xml:space="preserve">Enrollment Submission: Selected plan information and consumer data are submitted to CMS for enrollment processing via the EDE API.</w:t>
      </w:r>
    </w:p>
    <w:p>
      <w:pPr>
        <w:pStyle w:val="ListParagraph"/>
        <w:numPr>
          <w:ilvl w:val="0"/>
          <w:numId w:val="1"/>
        </w:numPr>
        <w:spacing w:after="60"/>
      </w:pPr>
      <w:r>
        <w:rPr>
          <w:rFonts w:ascii="Arial" w:cs="Arial" w:eastAsia="Arial" w:hAnsi="Arial"/>
          <w:sz w:val="22"/>
          <w:szCs w:val="22"/>
        </w:rPr>
        <w:t xml:space="preserve">Carrier Notification: EDI 834 transactions are generated and transmitted to insurance carriers to effectuate enrollment.</w:t>
      </w:r>
    </w:p>
    <w:p>
      <w:pPr>
        <w:pStyle w:val="ListParagraph"/>
        <w:numPr>
          <w:ilvl w:val="0"/>
          <w:numId w:val="1"/>
        </w:numPr>
        <w:spacing w:after="60"/>
      </w:pPr>
      <w:r>
        <w:rPr>
          <w:rFonts w:ascii="Arial" w:cs="Arial" w:eastAsia="Arial" w:hAnsi="Arial"/>
          <w:sz w:val="22"/>
          <w:szCs w:val="22"/>
        </w:rPr>
        <w:t xml:space="preserve">Commission Tracking: Agent NPN and enrollment data are used to track and process broker commissions per carrier agreements.</w:t>
      </w:r>
    </w:p>
    <w:p>
      <w:pPr>
        <w:pStyle w:val="Heading2"/>
        <w:spacing w:after="120" w:before="300"/>
      </w:pPr>
      <w:r>
        <w:rPr>
          <w:rFonts w:ascii="Arial" w:cs="Arial" w:eastAsia="Arial" w:hAnsi="Arial"/>
          <w:b/>
          <w:bCs/>
          <w:color w:val="1B3A5C"/>
          <w:sz w:val="26"/>
          <w:szCs w:val="26"/>
        </w:rPr>
        <w:t xml:space="preserve">3.2 Secondary Uses</w:t>
      </w:r>
    </w:p>
    <w:p>
      <w:pPr>
        <w:pStyle w:val="ListParagraph"/>
        <w:numPr>
          <w:ilvl w:val="0"/>
          <w:numId w:val="1"/>
        </w:numPr>
        <w:spacing w:after="60"/>
      </w:pPr>
      <w:r>
        <w:rPr>
          <w:rFonts w:ascii="Arial" w:cs="Arial" w:eastAsia="Arial" w:hAnsi="Arial"/>
          <w:sz w:val="22"/>
          <w:szCs w:val="22"/>
        </w:rPr>
        <w:t xml:space="preserve">Audit and Compliance: All system actions are logged for regulatory compliance, security monitoring, and incident investigation.</w:t>
      </w:r>
    </w:p>
    <w:p>
      <w:pPr>
        <w:pStyle w:val="ListParagraph"/>
        <w:numPr>
          <w:ilvl w:val="0"/>
          <w:numId w:val="1"/>
        </w:numPr>
        <w:spacing w:after="60"/>
      </w:pPr>
      <w:r>
        <w:rPr>
          <w:rFonts w:ascii="Arial" w:cs="Arial" w:eastAsia="Arial" w:hAnsi="Arial"/>
          <w:sz w:val="22"/>
          <w:szCs w:val="22"/>
        </w:rPr>
        <w:t xml:space="preserve">Renewal Processing: Prior enrollment data is used to facilitate annual renewal and plan comparison during Open Enrollment periods.</w:t>
      </w:r>
    </w:p>
    <w:p>
      <w:pPr>
        <w:pStyle w:val="ListParagraph"/>
        <w:numPr>
          <w:ilvl w:val="0"/>
          <w:numId w:val="1"/>
        </w:numPr>
        <w:spacing w:after="60"/>
      </w:pPr>
      <w:r>
        <w:rPr>
          <w:rFonts w:ascii="Arial" w:cs="Arial" w:eastAsia="Arial" w:hAnsi="Arial"/>
          <w:sz w:val="22"/>
          <w:szCs w:val="22"/>
        </w:rPr>
        <w:t xml:space="preserve">Consumer Communication: Contact information is used for enrollment status updates, renewal notices, and required CMS communications.</w:t>
      </w:r>
    </w:p>
    <w:p>
      <w:pPr>
        <w:pStyle w:val="ListParagraph"/>
        <w:numPr>
          <w:ilvl w:val="0"/>
          <w:numId w:val="1"/>
        </w:numPr>
        <w:spacing w:after="60"/>
      </w:pPr>
      <w:r>
        <w:rPr>
          <w:rFonts w:ascii="Arial" w:cs="Arial" w:eastAsia="Arial" w:hAnsi="Arial"/>
          <w:sz w:val="22"/>
          <w:szCs w:val="22"/>
        </w:rPr>
        <w:t xml:space="preserve">Reporting: Aggregated, de-identified data may be used for operational reporting and system performance analysis.</w:t>
      </w:r>
    </w:p>
    <w:p>
      <w:pPr>
        <w:pStyle w:val="Heading2"/>
        <w:spacing w:after="120" w:before="300"/>
      </w:pPr>
      <w:r>
        <w:rPr>
          <w:rFonts w:ascii="Arial" w:cs="Arial" w:eastAsia="Arial" w:hAnsi="Arial"/>
          <w:b/>
          <w:bCs/>
          <w:color w:val="1B3A5C"/>
          <w:sz w:val="26"/>
          <w:szCs w:val="26"/>
        </w:rPr>
        <w:t xml:space="preserve">3.3 Prohibited Uses</w:t>
      </w:r>
    </w:p>
    <w:p>
      <w:pPr>
        <w:pStyle w:val="ListParagraph"/>
        <w:numPr>
          <w:ilvl w:val="0"/>
          <w:numId w:val="1"/>
        </w:numPr>
        <w:spacing w:after="60"/>
      </w:pPr>
      <w:r>
        <w:rPr>
          <w:rFonts w:ascii="Arial" w:cs="Arial" w:eastAsia="Arial" w:hAnsi="Arial"/>
          <w:sz w:val="22"/>
          <w:szCs w:val="22"/>
        </w:rPr>
        <w:t xml:space="preserve">Consumer data is never used for third-party marketing purposes.</w:t>
      </w:r>
    </w:p>
    <w:p>
      <w:pPr>
        <w:pStyle w:val="ListParagraph"/>
        <w:numPr>
          <w:ilvl w:val="0"/>
          <w:numId w:val="1"/>
        </w:numPr>
        <w:spacing w:after="60"/>
      </w:pPr>
      <w:r>
        <w:rPr>
          <w:rFonts w:ascii="Arial" w:cs="Arial" w:eastAsia="Arial" w:hAnsi="Arial"/>
          <w:sz w:val="22"/>
          <w:szCs w:val="22"/>
        </w:rPr>
        <w:t xml:space="preserve">Data is never sold, rented, or shared for commercial purposes unrelated to enrollment.</w:t>
      </w:r>
    </w:p>
    <w:p>
      <w:pPr>
        <w:pStyle w:val="ListParagraph"/>
        <w:numPr>
          <w:ilvl w:val="0"/>
          <w:numId w:val="1"/>
        </w:numPr>
        <w:spacing w:after="60"/>
      </w:pPr>
      <w:r>
        <w:rPr>
          <w:rFonts w:ascii="Arial" w:cs="Arial" w:eastAsia="Arial" w:hAnsi="Arial"/>
          <w:sz w:val="22"/>
          <w:szCs w:val="22"/>
        </w:rPr>
        <w:t xml:space="preserve">FTI is never used for purposes other than eligibility determination as permitted under IRS Publication 1075.</w:t>
      </w:r>
    </w:p>
    <w:p>
      <w:pPr>
        <w:pStyle w:val="ListParagraph"/>
        <w:numPr>
          <w:ilvl w:val="0"/>
          <w:numId w:val="1"/>
        </w:numPr>
        <w:spacing w:after="60"/>
      </w:pPr>
      <w:r>
        <w:rPr>
          <w:rFonts w:ascii="Arial" w:cs="Arial" w:eastAsia="Arial" w:hAnsi="Arial"/>
          <w:sz w:val="22"/>
          <w:szCs w:val="22"/>
        </w:rPr>
        <w:t xml:space="preserve">Consumer data is never used for discriminatory profiling or steering.</w:t>
      </w:r>
    </w:p>
    <w:p>
      <w:pPr>
        <w:pStyle w:val="Heading1"/>
        <w:spacing w:after="120" w:before="300"/>
      </w:pPr>
      <w:r>
        <w:rPr>
          <w:rFonts w:ascii="Arial" w:cs="Arial" w:eastAsia="Arial" w:hAnsi="Arial"/>
          <w:b/>
          <w:bCs/>
          <w:color w:val="1B3A5C"/>
          <w:sz w:val="32"/>
          <w:szCs w:val="32"/>
        </w:rPr>
        <w:t xml:space="preserve">4. Data Sharing</w:t>
      </w:r>
    </w:p>
    <w:p>
      <w:pPr>
        <w:spacing w:after="120"/>
        <w:jc w:val="both"/>
      </w:pPr>
      <w:r>
        <w:rPr>
          <w:rFonts w:ascii="Arial" w:cs="Arial" w:eastAsia="Arial" w:hAnsi="Arial"/>
          <w:b w:val="false"/>
          <w:bCs w:val="false"/>
          <w:i w:val="false"/>
          <w:iCs w:val="false"/>
          <w:sz w:val="22"/>
          <w:szCs w:val="22"/>
        </w:rPr>
        <w:t>The HPS AgentLink Broker Portal shares data only with entities necessary for the completion of health insurance enrollment and administration:</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tcW w:type="pct" w:w="20%"/>
            <w:shd w:color="1B3A5C" w:val="solid"/>
          </w:tcPr>
          <w:p>
            <w:r>
              <w:rPr>
                <w:rFonts w:ascii="Arial" w:cs="Arial" w:eastAsia="Arial" w:hAnsi="Arial"/>
                <w:b/>
                <w:bCs/>
                <w:color w:val="FFFFFF"/>
                <w:sz w:val="20"/>
                <w:szCs w:val="20"/>
              </w:rPr>
              <w:t xml:space="preserve">Recipient</w:t>
            </w:r>
          </w:p>
        </w:tc>
        <w:tc>
          <w:tcPr>
            <w:tcW w:type="pct" w:w="20%"/>
            <w:shd w:color="1B3A5C" w:val="solid"/>
          </w:tcPr>
          <w:p>
            <w:r>
              <w:rPr>
                <w:rFonts w:ascii="Arial" w:cs="Arial" w:eastAsia="Arial" w:hAnsi="Arial"/>
                <w:b/>
                <w:bCs/>
                <w:color w:val="FFFFFF"/>
                <w:sz w:val="20"/>
                <w:szCs w:val="20"/>
              </w:rPr>
              <w:t xml:space="preserve">Data Shared</w:t>
            </w:r>
          </w:p>
        </w:tc>
        <w:tc>
          <w:tcPr>
            <w:tcW w:type="pct" w:w="20%"/>
            <w:shd w:color="1B3A5C" w:val="solid"/>
          </w:tcPr>
          <w:p>
            <w:r>
              <w:rPr>
                <w:rFonts w:ascii="Arial" w:cs="Arial" w:eastAsia="Arial" w:hAnsi="Arial"/>
                <w:b/>
                <w:bCs/>
                <w:color w:val="FFFFFF"/>
                <w:sz w:val="20"/>
                <w:szCs w:val="20"/>
              </w:rPr>
              <w:t xml:space="preserve">Purpose</w:t>
            </w:r>
          </w:p>
        </w:tc>
        <w:tc>
          <w:tcPr>
            <w:tcW w:type="pct" w:w="20%"/>
            <w:shd w:color="1B3A5C" w:val="solid"/>
          </w:tcPr>
          <w:p>
            <w:r>
              <w:rPr>
                <w:rFonts w:ascii="Arial" w:cs="Arial" w:eastAsia="Arial" w:hAnsi="Arial"/>
                <w:b/>
                <w:bCs/>
                <w:color w:val="FFFFFF"/>
                <w:sz w:val="20"/>
                <w:szCs w:val="20"/>
              </w:rPr>
              <w:t xml:space="preserve">Legal Authority</w:t>
            </w:r>
          </w:p>
        </w:tc>
        <w:tc>
          <w:tcPr>
            <w:tcW w:type="pct" w:w="20%"/>
            <w:shd w:color="1B3A5C" w:val="solid"/>
          </w:tcPr>
          <w:p>
            <w:r>
              <w:rPr>
                <w:rFonts w:ascii="Arial" w:cs="Arial" w:eastAsia="Arial" w:hAnsi="Arial"/>
                <w:b/>
                <w:bCs/>
                <w:color w:val="FFFFFF"/>
                <w:sz w:val="20"/>
                <w:szCs w:val="20"/>
              </w:rPr>
              <w:t xml:space="preserve">Mechanism</w:t>
            </w:r>
          </w:p>
        </w:tc>
      </w:tr>
      <w:tr>
        <w:tc>
          <w:p>
            <w:r>
              <w:rPr>
                <w:rFonts w:ascii="Arial" w:cs="Arial" w:eastAsia="Arial" w:hAnsi="Arial"/>
                <w:sz w:val="20"/>
                <w:szCs w:val="20"/>
              </w:rPr>
              <w:t xml:space="preserve">CMS / FFE</w:t>
            </w:r>
          </w:p>
        </w:tc>
        <w:tc>
          <w:p>
            <w:r>
              <w:rPr>
                <w:rFonts w:ascii="Arial" w:cs="Arial" w:eastAsia="Arial" w:hAnsi="Arial"/>
                <w:sz w:val="20"/>
                <w:szCs w:val="20"/>
              </w:rPr>
              <w:t xml:space="preserve">PII, FTI, enrollment selections</w:t>
            </w:r>
          </w:p>
        </w:tc>
        <w:tc>
          <w:p>
            <w:r>
              <w:rPr>
                <w:rFonts w:ascii="Arial" w:cs="Arial" w:eastAsia="Arial" w:hAnsi="Arial"/>
                <w:sz w:val="20"/>
                <w:szCs w:val="20"/>
              </w:rPr>
              <w:t xml:space="preserve">Eligibility determination and enrollment</w:t>
            </w:r>
          </w:p>
        </w:tc>
        <w:tc>
          <w:p>
            <w:r>
              <w:rPr>
                <w:rFonts w:ascii="Arial" w:cs="Arial" w:eastAsia="Arial" w:hAnsi="Arial"/>
                <w:sz w:val="20"/>
                <w:szCs w:val="20"/>
              </w:rPr>
              <w:t xml:space="preserve">45 CFR 155.302, EDE Agreement</w:t>
            </w:r>
          </w:p>
        </w:tc>
        <w:tc>
          <w:p>
            <w:r>
              <w:rPr>
                <w:rFonts w:ascii="Arial" w:cs="Arial" w:eastAsia="Arial" w:hAnsi="Arial"/>
                <w:sz w:val="20"/>
                <w:szCs w:val="20"/>
              </w:rPr>
              <w:t xml:space="preserve">EDE API (mTLS, encrypted)</w:t>
            </w:r>
          </w:p>
        </w:tc>
      </w:tr>
      <w:tr>
        <w:tc>
          <w:p>
            <w:r>
              <w:rPr>
                <w:rFonts w:ascii="Arial" w:cs="Arial" w:eastAsia="Arial" w:hAnsi="Arial"/>
                <w:sz w:val="20"/>
                <w:szCs w:val="20"/>
              </w:rPr>
              <w:t xml:space="preserve">Insurance Carriers</w:t>
            </w:r>
          </w:p>
        </w:tc>
        <w:tc>
          <w:p>
            <w:r>
              <w:rPr>
                <w:rFonts w:ascii="Arial" w:cs="Arial" w:eastAsia="Arial" w:hAnsi="Arial"/>
                <w:sz w:val="20"/>
                <w:szCs w:val="20"/>
              </w:rPr>
              <w:t xml:space="preserve">Enrollment data, consumer PII</w:t>
            </w:r>
          </w:p>
        </w:tc>
        <w:tc>
          <w:p>
            <w:r>
              <w:rPr>
                <w:rFonts w:ascii="Arial" w:cs="Arial" w:eastAsia="Arial" w:hAnsi="Arial"/>
                <w:sz w:val="20"/>
                <w:szCs w:val="20"/>
              </w:rPr>
              <w:t xml:space="preserve">Plan effectuation</w:t>
            </w:r>
          </w:p>
        </w:tc>
        <w:tc>
          <w:p>
            <w:r>
              <w:rPr>
                <w:rFonts w:ascii="Arial" w:cs="Arial" w:eastAsia="Arial" w:hAnsi="Arial"/>
                <w:sz w:val="20"/>
                <w:szCs w:val="20"/>
              </w:rPr>
              <w:t xml:space="preserve">45 CFR 155.400</w:t>
            </w:r>
          </w:p>
        </w:tc>
        <w:tc>
          <w:p>
            <w:r>
              <w:rPr>
                <w:rFonts w:ascii="Arial" w:cs="Arial" w:eastAsia="Arial" w:hAnsi="Arial"/>
                <w:sz w:val="20"/>
                <w:szCs w:val="20"/>
              </w:rPr>
              <w:t xml:space="preserve">EDI 834 (SFTP, encrypted)</w:t>
            </w:r>
          </w:p>
        </w:tc>
      </w:tr>
      <w:tr>
        <w:tc>
          <w:p>
            <w:r>
              <w:rPr>
                <w:rFonts w:ascii="Arial" w:cs="Arial" w:eastAsia="Arial" w:hAnsi="Arial"/>
                <w:sz w:val="20"/>
                <w:szCs w:val="20"/>
              </w:rPr>
              <w:t xml:space="preserve">IRS Data Services Hub</w:t>
            </w:r>
          </w:p>
        </w:tc>
        <w:tc>
          <w:p>
            <w:r>
              <w:rPr>
                <w:rFonts w:ascii="Arial" w:cs="Arial" w:eastAsia="Arial" w:hAnsi="Arial"/>
                <w:sz w:val="20"/>
                <w:szCs w:val="20"/>
              </w:rPr>
              <w:t xml:space="preserve">FTI verification requests</w:t>
            </w:r>
          </w:p>
        </w:tc>
        <w:tc>
          <w:p>
            <w:r>
              <w:rPr>
                <w:rFonts w:ascii="Arial" w:cs="Arial" w:eastAsia="Arial" w:hAnsi="Arial"/>
                <w:sz w:val="20"/>
                <w:szCs w:val="20"/>
              </w:rPr>
              <w:t xml:space="preserve">Income and tax status verification</w:t>
            </w:r>
          </w:p>
        </w:tc>
        <w:tc>
          <w:p>
            <w:r>
              <w:rPr>
                <w:rFonts w:ascii="Arial" w:cs="Arial" w:eastAsia="Arial" w:hAnsi="Arial"/>
                <w:sz w:val="20"/>
                <w:szCs w:val="20"/>
              </w:rPr>
              <w:t xml:space="preserve">IRS Pub 1075, 26 USC 6103</w:t>
            </w:r>
          </w:p>
        </w:tc>
        <w:tc>
          <w:p>
            <w:r>
              <w:rPr>
                <w:rFonts w:ascii="Arial" w:cs="Arial" w:eastAsia="Arial" w:hAnsi="Arial"/>
                <w:sz w:val="20"/>
                <w:szCs w:val="20"/>
              </w:rPr>
              <w:t xml:space="preserve">Via CMS EDE API only</w:t>
            </w:r>
          </w:p>
        </w:tc>
      </w:tr>
      <w:tr>
        <w:tc>
          <w:p>
            <w:r>
              <w:rPr>
                <w:rFonts w:ascii="Arial" w:cs="Arial" w:eastAsia="Arial" w:hAnsi="Arial"/>
                <w:sz w:val="20"/>
                <w:szCs w:val="20"/>
              </w:rPr>
              <w:t xml:space="preserve">State Departments of Insurance</w:t>
            </w:r>
          </w:p>
        </w:tc>
        <w:tc>
          <w:p>
            <w:r>
              <w:rPr>
                <w:rFonts w:ascii="Arial" w:cs="Arial" w:eastAsia="Arial" w:hAnsi="Arial"/>
                <w:sz w:val="20"/>
                <w:szCs w:val="20"/>
              </w:rPr>
              <w:t xml:space="preserve">Agent/broker license information</w:t>
            </w:r>
          </w:p>
        </w:tc>
        <w:tc>
          <w:p>
            <w:r>
              <w:rPr>
                <w:rFonts w:ascii="Arial" w:cs="Arial" w:eastAsia="Arial" w:hAnsi="Arial"/>
                <w:sz w:val="20"/>
                <w:szCs w:val="20"/>
              </w:rPr>
              <w:t xml:space="preserve">Regulatory compliance</w:t>
            </w:r>
          </w:p>
        </w:tc>
        <w:tc>
          <w:p>
            <w:r>
              <w:rPr>
                <w:rFonts w:ascii="Arial" w:cs="Arial" w:eastAsia="Arial" w:hAnsi="Arial"/>
                <w:sz w:val="20"/>
                <w:szCs w:val="20"/>
              </w:rPr>
              <w:t xml:space="preserve">State insurance regulations</w:t>
            </w:r>
          </w:p>
        </w:tc>
        <w:tc>
          <w:p>
            <w:r>
              <w:rPr>
                <w:rFonts w:ascii="Arial" w:cs="Arial" w:eastAsia="Arial" w:hAnsi="Arial"/>
                <w:sz w:val="20"/>
                <w:szCs w:val="20"/>
              </w:rPr>
              <w:t xml:space="preserve">License verification API</w:t>
            </w:r>
          </w:p>
        </w:tc>
      </w:tr>
    </w:tbl>
    <w:p>
      <w:pPr>
        <w:spacing w:before="200"/>
      </w:pPr>
    </w:p>
    <w:p>
      <w:pPr>
        <w:spacing w:after="120"/>
        <w:jc w:val="both"/>
      </w:pPr>
      <w:r>
        <w:rPr>
          <w:rFonts w:ascii="Arial" w:cs="Arial" w:eastAsia="Arial" w:hAnsi="Arial"/>
          <w:b/>
          <w:bCs/>
          <w:i w:val="false"/>
          <w:iCs w:val="false"/>
          <w:sz w:val="22"/>
          <w:szCs w:val="22"/>
        </w:rPr>
        <w:t>No Third-Party Sharing: HPS AgentLink does not share consumer data with any third parties for marketing, analytics, or commercial purposes. All data sharing is limited to entities directly involved in the enrollment process and is governed by formal agreements.</w:t>
      </w:r>
    </w:p>
    <w:p>
      <w:pPr>
        <w:pStyle w:val="Heading1"/>
        <w:spacing w:after="120" w:before="300"/>
      </w:pPr>
      <w:r>
        <w:rPr>
          <w:rFonts w:ascii="Arial" w:cs="Arial" w:eastAsia="Arial" w:hAnsi="Arial"/>
          <w:b/>
          <w:bCs/>
          <w:color w:val="1B3A5C"/>
          <w:sz w:val="32"/>
          <w:szCs w:val="32"/>
        </w:rPr>
        <w:t xml:space="preserve">5. Data Retention</w:t>
      </w:r>
    </w:p>
    <w:p>
      <w:pPr>
        <w:spacing w:after="120"/>
        <w:jc w:val="both"/>
      </w:pPr>
      <w:r>
        <w:rPr>
          <w:rFonts w:ascii="Arial" w:cs="Arial" w:eastAsia="Arial" w:hAnsi="Arial"/>
          <w:b w:val="false"/>
          <w:bCs w:val="false"/>
          <w:i w:val="false"/>
          <w:iCs w:val="false"/>
          <w:sz w:val="22"/>
          <w:szCs w:val="22"/>
        </w:rPr>
        <w:t xml:space="preserve">Data retention periods are established in accordance with HIPAA (45 CFR 164.530), CMS EDE requirements, and IRS Publication 1075:</w:t>
      </w:r>
    </w:p>
    <w:p>
      <w:pPr>
        <w:pStyle w:val="ListParagraph"/>
        <w:numPr>
          <w:ilvl w:val="0"/>
          <w:numId w:val="1"/>
        </w:numPr>
        <w:spacing w:after="60"/>
      </w:pPr>
      <w:r>
        <w:rPr>
          <w:rFonts w:ascii="Arial" w:cs="Arial" w:eastAsia="Arial" w:hAnsi="Arial"/>
          <w:sz w:val="22"/>
          <w:szCs w:val="22"/>
        </w:rPr>
        <w:t xml:space="preserve">Consent Records: 10 years from date of consent creation, in compliance with HIPAA documentation requirements.</w:t>
      </w:r>
    </w:p>
    <w:p>
      <w:pPr>
        <w:pStyle w:val="ListParagraph"/>
        <w:numPr>
          <w:ilvl w:val="0"/>
          <w:numId w:val="1"/>
        </w:numPr>
        <w:spacing w:after="60"/>
      </w:pPr>
      <w:r>
        <w:rPr>
          <w:rFonts w:ascii="Arial" w:cs="Arial" w:eastAsia="Arial" w:hAnsi="Arial"/>
          <w:sz w:val="22"/>
          <w:szCs w:val="22"/>
        </w:rPr>
        <w:t xml:space="preserve">Audit Logs: 10 years, per CMS EDE certification requirements for system activity tracking.</w:t>
      </w:r>
    </w:p>
    <w:p>
      <w:pPr>
        <w:pStyle w:val="ListParagraph"/>
        <w:numPr>
          <w:ilvl w:val="0"/>
          <w:numId w:val="1"/>
        </w:numPr>
        <w:spacing w:after="60"/>
      </w:pPr>
      <w:r>
        <w:rPr>
          <w:rFonts w:ascii="Arial" w:cs="Arial" w:eastAsia="Arial" w:hAnsi="Arial"/>
          <w:sz w:val="22"/>
          <w:szCs w:val="22"/>
        </w:rPr>
        <w:t xml:space="preserve">Enrollment Applications: 10 years from enrollment effective date, covering both HIPAA and CMS retention mandates.</w:t>
      </w:r>
    </w:p>
    <w:p>
      <w:pPr>
        <w:pStyle w:val="ListParagraph"/>
        <w:numPr>
          <w:ilvl w:val="0"/>
          <w:numId w:val="1"/>
        </w:numPr>
        <w:spacing w:after="60"/>
      </w:pPr>
      <w:r>
        <w:rPr>
          <w:rFonts w:ascii="Arial" w:cs="Arial" w:eastAsia="Arial" w:hAnsi="Arial"/>
          <w:sz w:val="22"/>
          <w:szCs w:val="22"/>
        </w:rPr>
        <w:t xml:space="preserve">Client PII: Duration of active client relationship plus 6 years, ensuring availability for renewal processing and regulatory inquiries.</w:t>
      </w:r>
    </w:p>
    <w:p>
      <w:pPr>
        <w:pStyle w:val="ListParagraph"/>
        <w:numPr>
          <w:ilvl w:val="0"/>
          <w:numId w:val="1"/>
        </w:numPr>
        <w:spacing w:after="60"/>
      </w:pPr>
      <w:r>
        <w:rPr>
          <w:rFonts w:ascii="Arial" w:cs="Arial" w:eastAsia="Arial" w:hAnsi="Arial"/>
          <w:sz w:val="22"/>
          <w:szCs w:val="22"/>
        </w:rPr>
        <w:t xml:space="preserve">EDI Transactions (834s): 7 years, per IRS requirements for records containing Federal Tax Information.</w:t>
      </w:r>
    </w:p>
    <w:p>
      <w:pPr>
        <w:pStyle w:val="ListParagraph"/>
        <w:numPr>
          <w:ilvl w:val="0"/>
          <w:numId w:val="1"/>
        </w:numPr>
        <w:spacing w:after="60"/>
      </w:pPr>
      <w:r>
        <w:rPr>
          <w:rFonts w:ascii="Arial" w:cs="Arial" w:eastAsia="Arial" w:hAnsi="Arial"/>
          <w:sz w:val="22"/>
          <w:szCs w:val="22"/>
        </w:rPr>
        <w:t xml:space="preserve">Commission Records: 7 years, consistent with IRS business record requirements.</w:t>
      </w:r>
    </w:p>
    <w:p>
      <w:pPr>
        <w:pStyle w:val="ListParagraph"/>
        <w:numPr>
          <w:ilvl w:val="0"/>
          <w:numId w:val="1"/>
        </w:numPr>
        <w:spacing w:after="60"/>
      </w:pPr>
      <w:r>
        <w:rPr>
          <w:rFonts w:ascii="Arial" w:cs="Arial" w:eastAsia="Arial" w:hAnsi="Arial"/>
          <w:sz w:val="22"/>
          <w:szCs w:val="22"/>
        </w:rPr>
        <w:t xml:space="preserve">Session Logs: 1 year, for security monitoring and incident investigation.</w:t>
      </w:r>
    </w:p>
    <w:p>
      <w:pPr>
        <w:spacing w:after="120"/>
        <w:jc w:val="both"/>
      </w:pPr>
      <w:r>
        <w:rPr>
          <w:rFonts w:ascii="Arial" w:cs="Arial" w:eastAsia="Arial" w:hAnsi="Arial"/>
          <w:b w:val="false"/>
          <w:bCs w:val="false"/>
          <w:i w:val="false"/>
          <w:iCs w:val="false"/>
          <w:sz w:val="22"/>
          <w:szCs w:val="22"/>
        </w:rPr>
        <w:t xml:space="preserve">Data destruction follows DOD 5220.22-M standards for physical media and cryptographic erasure for digital records. Soft-delete patterns ensure no premature destruction of records subject to regulatory hold requirements. Consent and audit records are never hard-deleted.</w:t>
      </w:r>
    </w:p>
    <w:p>
      <w:pPr>
        <w:pStyle w:val="Heading1"/>
        <w:spacing w:after="120" w:before="300"/>
      </w:pPr>
      <w:r>
        <w:rPr>
          <w:rFonts w:ascii="Arial" w:cs="Arial" w:eastAsia="Arial" w:hAnsi="Arial"/>
          <w:b/>
          <w:bCs/>
          <w:color w:val="1B3A5C"/>
          <w:sz w:val="32"/>
          <w:szCs w:val="32"/>
        </w:rPr>
        <w:t xml:space="preserve">6. Data Protection</w:t>
      </w:r>
    </w:p>
    <w:p>
      <w:pPr>
        <w:spacing w:after="120"/>
        <w:jc w:val="both"/>
      </w:pPr>
      <w:r>
        <w:rPr>
          <w:rFonts w:ascii="Arial" w:cs="Arial" w:eastAsia="Arial" w:hAnsi="Arial"/>
          <w:b w:val="false"/>
          <w:bCs w:val="false"/>
          <w:i w:val="false"/>
          <w:iCs w:val="false"/>
          <w:sz w:val="22"/>
          <w:szCs w:val="22"/>
        </w:rPr>
        <w:t>The HPS AgentLink Broker Portal implements multiple layers of security controls to protect sensitive data:</w:t>
      </w:r>
    </w:p>
    <w:p>
      <w:pPr>
        <w:pStyle w:val="Heading2"/>
        <w:spacing w:after="120" w:before="300"/>
      </w:pPr>
      <w:r>
        <w:rPr>
          <w:rFonts w:ascii="Arial" w:cs="Arial" w:eastAsia="Arial" w:hAnsi="Arial"/>
          <w:b/>
          <w:bCs/>
          <w:color w:val="1B3A5C"/>
          <w:sz w:val="26"/>
          <w:szCs w:val="26"/>
        </w:rPr>
        <w:t xml:space="preserve">6.1 Encryption</w:t>
      </w:r>
    </w:p>
    <w:p>
      <w:pPr>
        <w:pStyle w:val="ListParagraph"/>
        <w:numPr>
          <w:ilvl w:val="0"/>
          <w:numId w:val="1"/>
        </w:numPr>
        <w:spacing w:after="60"/>
      </w:pPr>
      <w:r>
        <w:rPr>
          <w:rFonts w:ascii="Arial" w:cs="Arial" w:eastAsia="Arial" w:hAnsi="Arial"/>
          <w:sz w:val="22"/>
          <w:szCs w:val="22"/>
        </w:rPr>
        <w:t>Data at Rest: AES-256-GCM encryption for all sensitive data fields, including SSN, FTI, and Medicare identifiers. Database-level encryption via PostgreSQL transparent data encryption.</w:t>
      </w:r>
    </w:p>
    <w:p>
      <w:pPr>
        <w:pStyle w:val="ListParagraph"/>
        <w:numPr>
          <w:ilvl w:val="0"/>
          <w:numId w:val="1"/>
        </w:numPr>
        <w:spacing w:after="60"/>
      </w:pPr>
      <w:r>
        <w:rPr>
          <w:rFonts w:ascii="Arial" w:cs="Arial" w:eastAsia="Arial" w:hAnsi="Arial"/>
          <w:sz w:val="22"/>
          <w:szCs w:val="22"/>
        </w:rPr>
        <w:t xml:space="preserve">Data in Transit: TLS 1.2 or higher for all network communications. Mutual TLS (mTLS) for EDE API connections. SFTP with AES-256 for EDI 834 carrier transmissions.</w:t>
      </w:r>
    </w:p>
    <w:p>
      <w:pPr>
        <w:pStyle w:val="ListParagraph"/>
        <w:numPr>
          <w:ilvl w:val="0"/>
          <w:numId w:val="1"/>
        </w:numPr>
        <w:spacing w:after="60"/>
      </w:pPr>
      <w:r>
        <w:rPr>
          <w:rFonts w:ascii="Arial" w:cs="Arial" w:eastAsia="Arial" w:hAnsi="Arial"/>
          <w:sz w:val="22"/>
          <w:szCs w:val="22"/>
        </w:rPr>
        <w:t xml:space="preserve">Encryption Key Management: Keys stored in hardware security modules (HSM) with automated rotation schedules. Separate encryption keys for different data classifications.</w:t>
      </w:r>
    </w:p>
    <w:p>
      <w:pPr>
        <w:pStyle w:val="Heading2"/>
        <w:spacing w:after="120" w:before="300"/>
      </w:pPr>
      <w:r>
        <w:rPr>
          <w:rFonts w:ascii="Arial" w:cs="Arial" w:eastAsia="Arial" w:hAnsi="Arial"/>
          <w:b/>
          <w:bCs/>
          <w:color w:val="1B3A5C"/>
          <w:sz w:val="26"/>
          <w:szCs w:val="26"/>
        </w:rPr>
        <w:t xml:space="preserve">6.2 Access Controls</w:t>
      </w:r>
    </w:p>
    <w:p>
      <w:pPr>
        <w:pStyle w:val="ListParagraph"/>
        <w:numPr>
          <w:ilvl w:val="0"/>
          <w:numId w:val="1"/>
        </w:numPr>
        <w:spacing w:after="60"/>
      </w:pPr>
      <w:r>
        <w:rPr>
          <w:rFonts w:ascii="Arial" w:cs="Arial" w:eastAsia="Arial" w:hAnsi="Arial"/>
          <w:sz w:val="22"/>
          <w:szCs w:val="22"/>
        </w:rPr>
        <w:t xml:space="preserve">Role-Based Access Control (RBAC): Six defined roles (Super Admin, Admin, Manager, Agent, Support, Viewer) with granular permission matrices.</w:t>
      </w:r>
    </w:p>
    <w:p>
      <w:pPr>
        <w:pStyle w:val="ListParagraph"/>
        <w:numPr>
          <w:ilvl w:val="0"/>
          <w:numId w:val="1"/>
        </w:numPr>
        <w:spacing w:after="60"/>
      </w:pPr>
      <w:r>
        <w:rPr>
          <w:rFonts w:ascii="Arial" w:cs="Arial" w:eastAsia="Arial" w:hAnsi="Arial"/>
          <w:sz w:val="22"/>
          <w:szCs w:val="22"/>
        </w:rPr>
        <w:t>Row-Level Security (RLS): PostgreSQL Row-Level Security (RLS) policies enforce data isolation between agencies, ensuring brokers access only their assigned client records.</w:t>
      </w:r>
    </w:p>
    <w:p>
      <w:pPr>
        <w:pStyle w:val="ListParagraph"/>
        <w:numPr>
          <w:ilvl w:val="0"/>
          <w:numId w:val="1"/>
        </w:numPr>
        <w:spacing w:after="60"/>
      </w:pPr>
      <w:r>
        <w:rPr>
          <w:rFonts w:ascii="Arial" w:cs="Arial" w:eastAsia="Arial" w:hAnsi="Arial"/>
          <w:sz w:val="22"/>
          <w:szCs w:val="22"/>
        </w:rPr>
        <w:t xml:space="preserve">Multi-Factor Authentication: Required for all administrative and broker accounts. NextAuth.js with magic link and TOTP second factor.</w:t>
      </w:r>
    </w:p>
    <w:p>
      <w:pPr>
        <w:pStyle w:val="ListParagraph"/>
        <w:numPr>
          <w:ilvl w:val="0"/>
          <w:numId w:val="1"/>
        </w:numPr>
        <w:spacing w:after="60"/>
      </w:pPr>
      <w:r>
        <w:rPr>
          <w:rFonts w:ascii="Arial" w:cs="Arial" w:eastAsia="Arial" w:hAnsi="Arial"/>
          <w:sz w:val="22"/>
          <w:szCs w:val="22"/>
        </w:rPr>
        <w:t xml:space="preserve">Session Management: Configurable session timeouts (default 30 minutes idle), secure cookie handling with HttpOnly and SameSite attributes.</w:t>
      </w:r>
    </w:p>
    <w:p>
      <w:pPr>
        <w:pStyle w:val="Heading2"/>
        <w:spacing w:after="120" w:before="300"/>
      </w:pPr>
      <w:r>
        <w:rPr>
          <w:rFonts w:ascii="Arial" w:cs="Arial" w:eastAsia="Arial" w:hAnsi="Arial"/>
          <w:b/>
          <w:bCs/>
          <w:color w:val="1B3A5C"/>
          <w:sz w:val="26"/>
          <w:szCs w:val="26"/>
        </w:rPr>
        <w:t xml:space="preserve">6.3 Audit and Monitoring</w:t>
      </w:r>
    </w:p>
    <w:p>
      <w:pPr>
        <w:pStyle w:val="ListParagraph"/>
        <w:numPr>
          <w:ilvl w:val="0"/>
          <w:numId w:val="1"/>
        </w:numPr>
        <w:spacing w:after="60"/>
      </w:pPr>
      <w:r>
        <w:rPr>
          <w:rFonts w:ascii="Arial" w:cs="Arial" w:eastAsia="Arial" w:hAnsi="Arial"/>
          <w:sz w:val="22"/>
          <w:szCs w:val="22"/>
        </w:rPr>
        <w:t xml:space="preserve">Comprehensive Audit Logging: All data access, modifications, and system events are logged with user identity, timestamp, action, and affected records.</w:t>
      </w:r>
    </w:p>
    <w:p>
      <w:pPr>
        <w:pStyle w:val="ListParagraph"/>
        <w:numPr>
          <w:ilvl w:val="0"/>
          <w:numId w:val="1"/>
        </w:numPr>
        <w:spacing w:after="60"/>
      </w:pPr>
      <w:r>
        <w:rPr>
          <w:rFonts w:ascii="Arial" w:cs="Arial" w:eastAsia="Arial" w:hAnsi="Arial"/>
          <w:sz w:val="22"/>
          <w:szCs w:val="22"/>
        </w:rPr>
        <w:t xml:space="preserve">Real-Time Monitoring: Performance-monitor.ts provides health check endpoints, rate limit monitoring, and anomaly detection.</w:t>
      </w:r>
    </w:p>
    <w:p>
      <w:pPr>
        <w:pStyle w:val="ListParagraph"/>
        <w:numPr>
          <w:ilvl w:val="0"/>
          <w:numId w:val="1"/>
        </w:numPr>
        <w:spacing w:after="60"/>
      </w:pPr>
      <w:r>
        <w:rPr>
          <w:rFonts w:ascii="Arial" w:cs="Arial" w:eastAsia="Arial" w:hAnsi="Arial"/>
          <w:sz w:val="22"/>
          <w:szCs w:val="22"/>
        </w:rPr>
        <w:t xml:space="preserve">Failed Authentication Tracking: Automated lockout after 5 failed login attempts with administrator notification.</w:t>
      </w:r>
    </w:p>
    <w:p>
      <w:pPr>
        <w:pStyle w:val="ListParagraph"/>
        <w:numPr>
          <w:ilvl w:val="0"/>
          <w:numId w:val="1"/>
        </w:numPr>
        <w:spacing w:after="60"/>
      </w:pPr>
      <w:r>
        <w:rPr>
          <w:rFonts w:ascii="Arial" w:cs="Arial" w:eastAsia="Arial" w:hAnsi="Arial"/>
          <w:sz w:val="22"/>
          <w:szCs w:val="22"/>
        </w:rPr>
        <w:t xml:space="preserve">SSN Access Logging: Every access to decrypted SSN or FTI fields is individually logged with business justification.</w:t>
      </w:r>
    </w:p>
    <w:p>
      <w:pPr>
        <w:pStyle w:val="Heading2"/>
        <w:spacing w:after="120" w:before="300"/>
      </w:pPr>
      <w:r>
        <w:rPr>
          <w:rFonts w:ascii="Arial" w:cs="Arial" w:eastAsia="Arial" w:hAnsi="Arial"/>
          <w:b/>
          <w:bCs/>
          <w:color w:val="1B3A5C"/>
          <w:sz w:val="26"/>
          <w:szCs w:val="26"/>
        </w:rPr>
        <w:t xml:space="preserve">6.4 Network Security</w:t>
      </w:r>
    </w:p>
    <w:p>
      <w:pPr>
        <w:pStyle w:val="ListParagraph"/>
        <w:numPr>
          <w:ilvl w:val="0"/>
          <w:numId w:val="1"/>
        </w:numPr>
        <w:spacing w:after="60"/>
      </w:pPr>
      <w:r>
        <w:rPr>
          <w:rFonts w:ascii="Arial" w:cs="Arial" w:eastAsia="Arial" w:hAnsi="Arial"/>
          <w:sz w:val="22"/>
          <w:szCs w:val="22"/>
        </w:rPr>
        <w:t xml:space="preserve">On-Premises Deployment: Tampa, FL data center with physical access controls, biometric entry, and 24/7 monitoring.</w:t>
      </w:r>
    </w:p>
    <w:p>
      <w:pPr>
        <w:pStyle w:val="ListParagraph"/>
        <w:numPr>
          <w:ilvl w:val="0"/>
          <w:numId w:val="1"/>
        </w:numPr>
        <w:spacing w:after="60"/>
      </w:pPr>
      <w:r>
        <w:rPr>
          <w:rFonts w:ascii="Arial" w:cs="Arial" w:eastAsia="Arial" w:hAnsi="Arial"/>
          <w:sz w:val="22"/>
          <w:szCs w:val="22"/>
        </w:rPr>
        <w:t xml:space="preserve">Network Segmentation: Application, database, and management traffic on separate VLANs with firewall rules.</w:t>
      </w:r>
    </w:p>
    <w:p>
      <w:pPr>
        <w:pStyle w:val="ListParagraph"/>
        <w:numPr>
          <w:ilvl w:val="0"/>
          <w:numId w:val="1"/>
        </w:numPr>
        <w:spacing w:after="60"/>
      </w:pPr>
      <w:r>
        <w:rPr>
          <w:rFonts w:ascii="Arial" w:cs="Arial" w:eastAsia="Arial" w:hAnsi="Arial"/>
          <w:sz w:val="22"/>
          <w:szCs w:val="22"/>
        </w:rPr>
        <w:t xml:space="preserve">Intrusion Detection: Network and host-based IDS/IPS with automated alerting.</w:t>
      </w:r>
    </w:p>
    <w:p>
      <w:pPr>
        <w:pStyle w:val="ListParagraph"/>
        <w:numPr>
          <w:ilvl w:val="0"/>
          <w:numId w:val="1"/>
        </w:numPr>
        <w:spacing w:after="60"/>
      </w:pPr>
      <w:r>
        <w:rPr>
          <w:rFonts w:ascii="Arial" w:cs="Arial" w:eastAsia="Arial" w:hAnsi="Arial"/>
          <w:sz w:val="22"/>
          <w:szCs w:val="22"/>
        </w:rPr>
        <w:t xml:space="preserve">DDoS Protection: Rate limiting at application and infrastructure levels.</w:t>
      </w:r>
    </w:p>
    <w:p>
      <w:pPr>
        <w:pStyle w:val="Heading1"/>
        <w:spacing w:after="120" w:before="300"/>
      </w:pPr>
      <w:r>
        <w:rPr>
          <w:rFonts w:ascii="Arial" w:cs="Arial" w:eastAsia="Arial" w:hAnsi="Arial"/>
          <w:b/>
          <w:bCs/>
          <w:color w:val="1B3A5C"/>
          <w:sz w:val="32"/>
          <w:szCs w:val="32"/>
        </w:rPr>
        <w:t xml:space="preserve">7. Individual Rights</w:t>
      </w:r>
    </w:p>
    <w:p>
      <w:pPr>
        <w:spacing w:after="120"/>
        <w:jc w:val="both"/>
      </w:pPr>
      <w:r>
        <w:rPr>
          <w:rFonts w:ascii="Arial" w:cs="Arial" w:eastAsia="Arial" w:hAnsi="Arial"/>
          <w:b w:val="false"/>
          <w:bCs w:val="false"/>
          <w:i w:val="false"/>
          <w:iCs w:val="false"/>
          <w:sz w:val="22"/>
          <w:szCs w:val="22"/>
        </w:rPr>
        <w:t>HPS AgentLink supports individual privacy rights as required by HIPAA and applicable state privacy laws:</w:t>
      </w:r>
    </w:p>
    <w:p>
      <w:pPr>
        <w:pStyle w:val="Heading2"/>
        <w:spacing w:after="120" w:before="300"/>
      </w:pPr>
      <w:r>
        <w:rPr>
          <w:rFonts w:ascii="Arial" w:cs="Arial" w:eastAsia="Arial" w:hAnsi="Arial"/>
          <w:b/>
          <w:bCs/>
          <w:color w:val="1B3A5C"/>
          <w:sz w:val="26"/>
          <w:szCs w:val="26"/>
        </w:rPr>
        <w:t xml:space="preserve">7.1 Right of Access</w:t>
      </w:r>
    </w:p>
    <w:p>
      <w:pPr>
        <w:spacing w:after="120"/>
        <w:jc w:val="both"/>
      </w:pPr>
      <w:r>
        <w:rPr>
          <w:rFonts w:ascii="Arial" w:cs="Arial" w:eastAsia="Arial" w:hAnsi="Arial"/>
          <w:b w:val="false"/>
          <w:bCs w:val="false"/>
          <w:i w:val="false"/>
          <w:iCs w:val="false"/>
          <w:sz w:val="22"/>
          <w:szCs w:val="22"/>
        </w:rPr>
        <w:t>Consumers may request access to their personal information held by HPS AgentLink. Requests are processed within 30 days in accordance with 45 CFR 164.524. The system supports data export in machine-readable formats for portability.</w:t>
      </w:r>
    </w:p>
    <w:p>
      <w:pPr>
        <w:pStyle w:val="Heading2"/>
        <w:spacing w:after="120" w:before="300"/>
      </w:pPr>
      <w:r>
        <w:rPr>
          <w:rFonts w:ascii="Arial" w:cs="Arial" w:eastAsia="Arial" w:hAnsi="Arial"/>
          <w:b/>
          <w:bCs/>
          <w:color w:val="1B3A5C"/>
          <w:sz w:val="26"/>
          <w:szCs w:val="26"/>
        </w:rPr>
        <w:t xml:space="preserve">7.2 Right of Correction</w:t>
      </w:r>
    </w:p>
    <w:p>
      <w:pPr>
        <w:spacing w:after="120"/>
        <w:jc w:val="both"/>
      </w:pPr>
      <w:r>
        <w:rPr>
          <w:rFonts w:ascii="Arial" w:cs="Arial" w:eastAsia="Arial" w:hAnsi="Arial"/>
          <w:b w:val="false"/>
          <w:bCs w:val="false"/>
          <w:i w:val="false"/>
          <w:iCs w:val="false"/>
          <w:sz w:val="22"/>
          <w:szCs w:val="22"/>
        </w:rPr>
        <w:t xml:space="preserve">Consumers may request amendment of inaccurate personal information per 45 CFR 164.526. Corrections are logged in the audit trail and, where applicable, transmitted to CMS and affected carriers.</w:t>
      </w:r>
    </w:p>
    <w:p>
      <w:pPr>
        <w:pStyle w:val="Heading2"/>
        <w:spacing w:after="120" w:before="300"/>
      </w:pPr>
      <w:r>
        <w:rPr>
          <w:rFonts w:ascii="Arial" w:cs="Arial" w:eastAsia="Arial" w:hAnsi="Arial"/>
          <w:b/>
          <w:bCs/>
          <w:color w:val="1B3A5C"/>
          <w:sz w:val="26"/>
          <w:szCs w:val="26"/>
        </w:rPr>
        <w:t xml:space="preserve">7.3 Right of Deletion</w:t>
      </w:r>
    </w:p>
    <w:p>
      <w:pPr>
        <w:spacing w:after="120"/>
        <w:jc w:val="both"/>
      </w:pPr>
      <w:r>
        <w:rPr>
          <w:rFonts w:ascii="Arial" w:cs="Arial" w:eastAsia="Arial" w:hAnsi="Arial"/>
          <w:b w:val="false"/>
          <w:bCs w:val="false"/>
          <w:i w:val="false"/>
          <w:iCs w:val="false"/>
          <w:sz w:val="22"/>
          <w:szCs w:val="22"/>
        </w:rPr>
        <w:t xml:space="preserve">Consumer deletion requests are honored subject to regulatory retention requirements. The system implements soft-delete for client records, with personal identifiers masked after the retention period expires. Records subject to active regulatory hold or within mandatory retention windows are preserved as required by law.</w:t>
      </w:r>
    </w:p>
    <w:p>
      <w:pPr>
        <w:pStyle w:val="Heading2"/>
        <w:spacing w:after="120" w:before="300"/>
      </w:pPr>
      <w:r>
        <w:rPr>
          <w:rFonts w:ascii="Arial" w:cs="Arial" w:eastAsia="Arial" w:hAnsi="Arial"/>
          <w:b/>
          <w:bCs/>
          <w:color w:val="1B3A5C"/>
          <w:sz w:val="26"/>
          <w:szCs w:val="26"/>
        </w:rPr>
        <w:t xml:space="preserve">7.4 Consent Revocation</w:t>
      </w:r>
    </w:p>
    <w:p>
      <w:pPr>
        <w:spacing w:after="120"/>
        <w:jc w:val="both"/>
      </w:pPr>
      <w:r>
        <w:rPr>
          <w:rFonts w:ascii="Arial" w:cs="Arial" w:eastAsia="Arial" w:hAnsi="Arial"/>
          <w:b w:val="false"/>
          <w:bCs w:val="false"/>
          <w:i w:val="false"/>
          <w:iCs w:val="false"/>
          <w:sz w:val="22"/>
          <w:szCs w:val="22"/>
        </w:rPr>
        <w:t xml:space="preserve">Consumers may revoke their enrollment consent at any time. The consent management system records revocation timestamps and triggers appropriate downstream actions, including notification to CMS and cessation of enrollment processing. Revocation does not affect the lawfulness of processing prior to revocation or retention required by regulatory mandates.</w:t>
      </w:r>
    </w:p>
    <w:p>
      <w:pPr>
        <w:pStyle w:val="Heading2"/>
        <w:spacing w:after="120" w:before="300"/>
      </w:pPr>
      <w:r>
        <w:rPr>
          <w:rFonts w:ascii="Arial" w:cs="Arial" w:eastAsia="Arial" w:hAnsi="Arial"/>
          <w:b/>
          <w:bCs/>
          <w:color w:val="1B3A5C"/>
          <w:sz w:val="26"/>
          <w:szCs w:val="26"/>
        </w:rPr>
        <w:t xml:space="preserve">7.5 Complaint Process</w:t>
      </w:r>
    </w:p>
    <w:p>
      <w:pPr>
        <w:spacing w:after="120"/>
        <w:jc w:val="both"/>
      </w:pPr>
      <w:r>
        <w:rPr>
          <w:rFonts w:ascii="Arial" w:cs="Arial" w:eastAsia="Arial" w:hAnsi="Arial"/>
          <w:b w:val="false"/>
          <w:bCs w:val="false"/>
          <w:i w:val="false"/>
          <w:iCs w:val="false"/>
          <w:sz w:val="22"/>
          <w:szCs w:val="22"/>
        </w:rPr>
        <w:t>Consumers may file privacy complaints with the HPS AgentLink Privacy Officer. All complaints are documented, investigated within 30 days, and resolved with written notification to the complainant. Consumers retain the right to file complaints with HHS Office for Civil Rights.</w:t>
      </w:r>
    </w:p>
    <w:p>
      <w:pPr>
        <w:pStyle w:val="Heading1"/>
        <w:spacing w:after="120" w:before="300"/>
      </w:pPr>
      <w:r>
        <w:rPr>
          <w:rFonts w:ascii="Arial" w:cs="Arial" w:eastAsia="Arial" w:hAnsi="Arial"/>
          <w:b/>
          <w:bCs/>
          <w:color w:val="1B3A5C"/>
          <w:sz w:val="32"/>
          <w:szCs w:val="32"/>
        </w:rPr>
        <w:t xml:space="preserve">8. Risk Assessment</w:t>
      </w:r>
    </w:p>
    <w:p>
      <w:pPr>
        <w:spacing w:after="120"/>
        <w:jc w:val="both"/>
      </w:pPr>
      <w:r>
        <w:rPr>
          <w:rFonts w:ascii="Arial" w:cs="Arial" w:eastAsia="Arial" w:hAnsi="Arial"/>
          <w:b w:val="false"/>
          <w:bCs w:val="false"/>
          <w:i w:val="false"/>
          <w:iCs w:val="false"/>
          <w:sz w:val="22"/>
          <w:szCs w:val="22"/>
        </w:rPr>
        <w:t xml:space="preserve">The following table identifies key privacy risks and the mitigations implemented:</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tcW w:type="pct" w:w="20%"/>
            <w:shd w:color="1B3A5C" w:val="solid"/>
          </w:tcPr>
          <w:p>
            <w:r>
              <w:rPr>
                <w:rFonts w:ascii="Arial" w:cs="Arial" w:eastAsia="Arial" w:hAnsi="Arial"/>
                <w:b/>
                <w:bCs/>
                <w:color w:val="FFFFFF"/>
                <w:sz w:val="20"/>
                <w:szCs w:val="20"/>
              </w:rPr>
              <w:t xml:space="preserve">Risk</w:t>
            </w:r>
          </w:p>
        </w:tc>
        <w:tc>
          <w:tcPr>
            <w:tcW w:type="pct" w:w="20%"/>
            <w:shd w:color="1B3A5C" w:val="solid"/>
          </w:tcPr>
          <w:p>
            <w:r>
              <w:rPr>
                <w:rFonts w:ascii="Arial" w:cs="Arial" w:eastAsia="Arial" w:hAnsi="Arial"/>
                <w:b/>
                <w:bCs/>
                <w:color w:val="FFFFFF"/>
                <w:sz w:val="20"/>
                <w:szCs w:val="20"/>
              </w:rPr>
              <w:t xml:space="preserve">Likelihood</w:t>
            </w:r>
          </w:p>
        </w:tc>
        <w:tc>
          <w:tcPr>
            <w:tcW w:type="pct" w:w="20%"/>
            <w:shd w:color="1B3A5C" w:val="solid"/>
          </w:tcPr>
          <w:p>
            <w:r>
              <w:rPr>
                <w:rFonts w:ascii="Arial" w:cs="Arial" w:eastAsia="Arial" w:hAnsi="Arial"/>
                <w:b/>
                <w:bCs/>
                <w:color w:val="FFFFFF"/>
                <w:sz w:val="20"/>
                <w:szCs w:val="20"/>
              </w:rPr>
              <w:t xml:space="preserve">Impact</w:t>
            </w:r>
          </w:p>
        </w:tc>
        <w:tc>
          <w:tcPr>
            <w:tcW w:type="pct" w:w="20%"/>
            <w:shd w:color="1B3A5C" w:val="solid"/>
          </w:tcPr>
          <w:p>
            <w:r>
              <w:rPr>
                <w:rFonts w:ascii="Arial" w:cs="Arial" w:eastAsia="Arial" w:hAnsi="Arial"/>
                <w:b/>
                <w:bCs/>
                <w:color w:val="FFFFFF"/>
                <w:sz w:val="20"/>
                <w:szCs w:val="20"/>
              </w:rPr>
              <w:t xml:space="preserve">Mitigation</w:t>
            </w:r>
          </w:p>
        </w:tc>
        <w:tc>
          <w:tcPr>
            <w:tcW w:type="pct" w:w="20%"/>
            <w:shd w:color="1B3A5C" w:val="solid"/>
          </w:tcPr>
          <w:p>
            <w:r>
              <w:rPr>
                <w:rFonts w:ascii="Arial" w:cs="Arial" w:eastAsia="Arial" w:hAnsi="Arial"/>
                <w:b/>
                <w:bCs/>
                <w:color w:val="FFFFFF"/>
                <w:sz w:val="20"/>
                <w:szCs w:val="20"/>
              </w:rPr>
              <w:t xml:space="preserve">Residual Risk</w:t>
            </w:r>
          </w:p>
        </w:tc>
      </w:tr>
      <w:tr>
        <w:tc>
          <w:p>
            <w:r>
              <w:rPr>
                <w:rFonts w:ascii="Arial" w:cs="Arial" w:eastAsia="Arial" w:hAnsi="Arial"/>
                <w:sz w:val="20"/>
                <w:szCs w:val="20"/>
              </w:rPr>
              <w:t xml:space="preserve">Unauthorized access to PII/PHI</w:t>
            </w:r>
          </w:p>
        </w:tc>
        <w:tc>
          <w:p>
            <w:r>
              <w:rPr>
                <w:rFonts w:ascii="Arial" w:cs="Arial" w:eastAsia="Arial" w:hAnsi="Arial"/>
                <w:sz w:val="20"/>
                <w:szCs w:val="20"/>
              </w:rPr>
              <w:t xml:space="preserve">Medium</w:t>
            </w:r>
          </w:p>
        </w:tc>
        <w:tc>
          <w:p>
            <w:r>
              <w:rPr>
                <w:rFonts w:ascii="Arial" w:cs="Arial" w:eastAsia="Arial" w:hAnsi="Arial"/>
                <w:sz w:val="20"/>
                <w:szCs w:val="20"/>
              </w:rPr>
              <w:t xml:space="preserve">High</w:t>
            </w:r>
          </w:p>
        </w:tc>
        <w:tc>
          <w:p>
            <w:r>
              <w:rPr>
                <w:rFonts w:ascii="Arial" w:cs="Arial" w:eastAsia="Arial" w:hAnsi="Arial"/>
                <w:sz w:val="20"/>
                <w:szCs w:val="20"/>
              </w:rPr>
              <w:t xml:space="preserve">RBAC, MFA, RLS, session management, audit logging</w:t>
            </w:r>
          </w:p>
        </w:tc>
        <w:tc>
          <w:p>
            <w:r>
              <w:rPr>
                <w:rFonts w:ascii="Arial" w:cs="Arial" w:eastAsia="Arial" w:hAnsi="Arial"/>
                <w:sz w:val="20"/>
                <w:szCs w:val="20"/>
              </w:rPr>
              <w:t xml:space="preserve">Low</w:t>
            </w:r>
          </w:p>
        </w:tc>
      </w:tr>
      <w:tr>
        <w:tc>
          <w:p>
            <w:r>
              <w:rPr>
                <w:rFonts w:ascii="Arial" w:cs="Arial" w:eastAsia="Arial" w:hAnsi="Arial"/>
                <w:sz w:val="20"/>
                <w:szCs w:val="20"/>
              </w:rPr>
              <w:t xml:space="preserve">Data breach via application vulnerability</w:t>
            </w:r>
          </w:p>
        </w:tc>
        <w:tc>
          <w:p>
            <w:r>
              <w:rPr>
                <w:rFonts w:ascii="Arial" w:cs="Arial" w:eastAsia="Arial" w:hAnsi="Arial"/>
                <w:sz w:val="20"/>
                <w:szCs w:val="20"/>
              </w:rPr>
              <w:t xml:space="preserve">Medium</w:t>
            </w:r>
          </w:p>
        </w:tc>
        <w:tc>
          <w:p>
            <w:r>
              <w:rPr>
                <w:rFonts w:ascii="Arial" w:cs="Arial" w:eastAsia="Arial" w:hAnsi="Arial"/>
                <w:sz w:val="20"/>
                <w:szCs w:val="20"/>
              </w:rPr>
              <w:t xml:space="preserve">Critical</w:t>
            </w:r>
          </w:p>
        </w:tc>
        <w:tc>
          <w:p>
            <w:r>
              <w:rPr>
                <w:rFonts w:ascii="Arial" w:cs="Arial" w:eastAsia="Arial" w:hAnsi="Arial"/>
                <w:sz w:val="20"/>
                <w:szCs w:val="20"/>
              </w:rPr>
              <w:t xml:space="preserve">Secure SDLC, dependency scanning, penetration testing, WAF</w:t>
            </w:r>
          </w:p>
        </w:tc>
        <w:tc>
          <w:p>
            <w:r>
              <w:rPr>
                <w:rFonts w:ascii="Arial" w:cs="Arial" w:eastAsia="Arial" w:hAnsi="Arial"/>
                <w:sz w:val="20"/>
                <w:szCs w:val="20"/>
              </w:rPr>
              <w:t xml:space="preserve">Low</w:t>
            </w:r>
          </w:p>
        </w:tc>
      </w:tr>
      <w:tr>
        <w:tc>
          <w:p>
            <w:r>
              <w:rPr>
                <w:rFonts w:ascii="Arial" w:cs="Arial" w:eastAsia="Arial" w:hAnsi="Arial"/>
                <w:sz w:val="20"/>
                <w:szCs w:val="20"/>
              </w:rPr>
              <w:t xml:space="preserve">Insider threat / unauthorized data access</w:t>
            </w:r>
          </w:p>
        </w:tc>
        <w:tc>
          <w:p>
            <w:r>
              <w:rPr>
                <w:rFonts w:ascii="Arial" w:cs="Arial" w:eastAsia="Arial" w:hAnsi="Arial"/>
                <w:sz w:val="20"/>
                <w:szCs w:val="20"/>
              </w:rPr>
              <w:t xml:space="preserve">Low</w:t>
            </w:r>
          </w:p>
        </w:tc>
        <w:tc>
          <w:p>
            <w:r>
              <w:rPr>
                <w:rFonts w:ascii="Arial" w:cs="Arial" w:eastAsia="Arial" w:hAnsi="Arial"/>
                <w:sz w:val="20"/>
                <w:szCs w:val="20"/>
              </w:rPr>
              <w:t xml:space="preserve">High</w:t>
            </w:r>
          </w:p>
        </w:tc>
        <w:tc>
          <w:p>
            <w:r>
              <w:rPr>
                <w:rFonts w:ascii="Arial" w:cs="Arial" w:eastAsia="Arial" w:hAnsi="Arial"/>
                <w:sz w:val="20"/>
                <w:szCs w:val="20"/>
              </w:rPr>
              <w:t xml:space="preserve">Least privilege, SSN access logging, background checks, separation of duties</w:t>
            </w:r>
          </w:p>
        </w:tc>
        <w:tc>
          <w:p>
            <w:r>
              <w:rPr>
                <w:rFonts w:ascii="Arial" w:cs="Arial" w:eastAsia="Arial" w:hAnsi="Arial"/>
                <w:sz w:val="20"/>
                <w:szCs w:val="20"/>
              </w:rPr>
              <w:t xml:space="preserve">Low</w:t>
            </w:r>
          </w:p>
        </w:tc>
      </w:tr>
      <w:tr>
        <w:tc>
          <w:p>
            <w:r>
              <w:rPr>
                <w:rFonts w:ascii="Arial" w:cs="Arial" w:eastAsia="Arial" w:hAnsi="Arial"/>
                <w:sz w:val="20"/>
                <w:szCs w:val="20"/>
              </w:rPr>
              <w:t xml:space="preserve">FTI exposure to unauthorized parties</w:t>
            </w:r>
          </w:p>
        </w:tc>
        <w:tc>
          <w:p>
            <w:r>
              <w:rPr>
                <w:rFonts w:ascii="Arial" w:cs="Arial" w:eastAsia="Arial" w:hAnsi="Arial"/>
                <w:sz w:val="20"/>
                <w:szCs w:val="20"/>
              </w:rPr>
              <w:t xml:space="preserve">Low</w:t>
            </w:r>
          </w:p>
        </w:tc>
        <w:tc>
          <w:p>
            <w:r>
              <w:rPr>
                <w:rFonts w:ascii="Arial" w:cs="Arial" w:eastAsia="Arial" w:hAnsi="Arial"/>
                <w:sz w:val="20"/>
                <w:szCs w:val="20"/>
              </w:rPr>
              <w:t xml:space="preserve">Critical</w:t>
            </w:r>
          </w:p>
        </w:tc>
        <w:tc>
          <w:p>
            <w:r>
              <w:rPr>
                <w:rFonts w:ascii="Arial" w:cs="Arial" w:eastAsia="Arial" w:hAnsi="Arial"/>
                <w:sz w:val="20"/>
                <w:szCs w:val="20"/>
              </w:rPr>
              <w:t xml:space="preserve">Dedicated FTI encryption keys, access restricted to eligibility workflow only, IRS Pub 1075 controls</w:t>
            </w:r>
          </w:p>
        </w:tc>
        <w:tc>
          <w:p>
            <w:r>
              <w:rPr>
                <w:rFonts w:ascii="Arial" w:cs="Arial" w:eastAsia="Arial" w:hAnsi="Arial"/>
                <w:sz w:val="20"/>
                <w:szCs w:val="20"/>
              </w:rPr>
              <w:t xml:space="preserve">Very Low</w:t>
            </w:r>
          </w:p>
        </w:tc>
      </w:tr>
      <w:tr>
        <w:tc>
          <w:p>
            <w:r>
              <w:rPr>
                <w:rFonts w:ascii="Arial" w:cs="Arial" w:eastAsia="Arial" w:hAnsi="Arial"/>
                <w:sz w:val="20"/>
                <w:szCs w:val="20"/>
              </w:rPr>
              <w:t xml:space="preserve">Loss of data integrity</w:t>
            </w:r>
          </w:p>
        </w:tc>
        <w:tc>
          <w:p>
            <w:r>
              <w:rPr>
                <w:rFonts w:ascii="Arial" w:cs="Arial" w:eastAsia="Arial" w:hAnsi="Arial"/>
                <w:sz w:val="20"/>
                <w:szCs w:val="20"/>
              </w:rPr>
              <w:t xml:space="preserve">Low</w:t>
            </w:r>
          </w:p>
        </w:tc>
        <w:tc>
          <w:p>
            <w:r>
              <w:rPr>
                <w:rFonts w:ascii="Arial" w:cs="Arial" w:eastAsia="Arial" w:hAnsi="Arial"/>
                <w:sz w:val="20"/>
                <w:szCs w:val="20"/>
              </w:rPr>
              <w:t xml:space="preserve">High</w:t>
            </w:r>
          </w:p>
        </w:tc>
        <w:tc>
          <w:p>
            <w:r>
              <w:rPr>
                <w:rFonts w:ascii="Arial" w:cs="Arial" w:eastAsia="Arial" w:hAnsi="Arial"/>
                <w:sz w:val="20"/>
                <w:szCs w:val="20"/>
              </w:rPr>
              <w:t xml:space="preserve">Database transaction controls, audit trail immutability, backup verification</w:t>
            </w:r>
          </w:p>
        </w:tc>
        <w:tc>
          <w:p>
            <w:r>
              <w:rPr>
                <w:rFonts w:ascii="Arial" w:cs="Arial" w:eastAsia="Arial" w:hAnsi="Arial"/>
                <w:sz w:val="20"/>
                <w:szCs w:val="20"/>
              </w:rPr>
              <w:t xml:space="preserve">Low</w:t>
            </w:r>
          </w:p>
        </w:tc>
      </w:tr>
      <w:tr>
        <w:tc>
          <w:p>
            <w:r>
              <w:rPr>
                <w:rFonts w:ascii="Arial" w:cs="Arial" w:eastAsia="Arial" w:hAnsi="Arial"/>
                <w:sz w:val="20"/>
                <w:szCs w:val="20"/>
              </w:rPr>
              <w:t xml:space="preserve">Inadequate data destruction</w:t>
            </w:r>
          </w:p>
        </w:tc>
        <w:tc>
          <w:p>
            <w:r>
              <w:rPr>
                <w:rFonts w:ascii="Arial" w:cs="Arial" w:eastAsia="Arial" w:hAnsi="Arial"/>
                <w:sz w:val="20"/>
                <w:szCs w:val="20"/>
              </w:rPr>
              <w:t xml:space="preserve">Low</w:t>
            </w:r>
          </w:p>
        </w:tc>
        <w:tc>
          <w:p>
            <w:r>
              <w:rPr>
                <w:rFonts w:ascii="Arial" w:cs="Arial" w:eastAsia="Arial" w:hAnsi="Arial"/>
                <w:sz w:val="20"/>
                <w:szCs w:val="20"/>
              </w:rPr>
              <w:t xml:space="preserve">Medium</w:t>
            </w:r>
          </w:p>
        </w:tc>
        <w:tc>
          <w:p>
            <w:r>
              <w:rPr>
                <w:rFonts w:ascii="Arial" w:cs="Arial" w:eastAsia="Arial" w:hAnsi="Arial"/>
                <w:sz w:val="20"/>
                <w:szCs w:val="20"/>
              </w:rPr>
              <w:t xml:space="preserve">Automated retention workflows, cryptographic erasure, soft-delete patterns, quarterly retention audits</w:t>
            </w:r>
          </w:p>
        </w:tc>
        <w:tc>
          <w:p>
            <w:r>
              <w:rPr>
                <w:rFonts w:ascii="Arial" w:cs="Arial" w:eastAsia="Arial" w:hAnsi="Arial"/>
                <w:sz w:val="20"/>
                <w:szCs w:val="20"/>
              </w:rPr>
              <w:t xml:space="preserve">Very Low</w:t>
            </w:r>
          </w:p>
        </w:tc>
      </w:tr>
      <w:tr>
        <w:tc>
          <w:p>
            <w:r>
              <w:rPr>
                <w:rFonts w:ascii="Arial" w:cs="Arial" w:eastAsia="Arial" w:hAnsi="Arial"/>
                <w:sz w:val="20"/>
                <w:szCs w:val="20"/>
              </w:rPr>
              <w:t xml:space="preserve">Consumer consent not properly captured</w:t>
            </w:r>
          </w:p>
        </w:tc>
        <w:tc>
          <w:p>
            <w:r>
              <w:rPr>
                <w:rFonts w:ascii="Arial" w:cs="Arial" w:eastAsia="Arial" w:hAnsi="Arial"/>
                <w:sz w:val="20"/>
                <w:szCs w:val="20"/>
              </w:rPr>
              <w:t xml:space="preserve">Low</w:t>
            </w:r>
          </w:p>
        </w:tc>
        <w:tc>
          <w:p>
            <w:r>
              <w:rPr>
                <w:rFonts w:ascii="Arial" w:cs="Arial" w:eastAsia="Arial" w:hAnsi="Arial"/>
                <w:sz w:val="20"/>
                <w:szCs w:val="20"/>
              </w:rPr>
              <w:t xml:space="preserve">High</w:t>
            </w:r>
          </w:p>
        </w:tc>
        <w:tc>
          <w:p>
            <w:r>
              <w:rPr>
                <w:rFonts w:ascii="Arial" w:cs="Arial" w:eastAsia="Arial" w:hAnsi="Arial"/>
                <w:sz w:val="20"/>
                <w:szCs w:val="20"/>
              </w:rPr>
              <w:t xml:space="preserve">Three consent methods (digital, verbal, three-way call), consent timestamp logging, C-CMS-02 compliance</w:t>
            </w:r>
          </w:p>
        </w:tc>
        <w:tc>
          <w:p>
            <w:r>
              <w:rPr>
                <w:rFonts w:ascii="Arial" w:cs="Arial" w:eastAsia="Arial" w:hAnsi="Arial"/>
                <w:sz w:val="20"/>
                <w:szCs w:val="20"/>
              </w:rPr>
              <w:t xml:space="preserve">Low</w:t>
            </w:r>
          </w:p>
        </w:tc>
      </w:tr>
      <w:tr>
        <w:tc>
          <w:p>
            <w:r>
              <w:rPr>
                <w:rFonts w:ascii="Arial" w:cs="Arial" w:eastAsia="Arial" w:hAnsi="Arial"/>
                <w:sz w:val="20"/>
                <w:szCs w:val="20"/>
              </w:rPr>
              <w:t xml:space="preserve">Third-party data exposure via carriers</w:t>
            </w:r>
          </w:p>
        </w:tc>
        <w:tc>
          <w:p>
            <w:r>
              <w:rPr>
                <w:rFonts w:ascii="Arial" w:cs="Arial" w:eastAsia="Arial" w:hAnsi="Arial"/>
                <w:sz w:val="20"/>
                <w:szCs w:val="20"/>
              </w:rPr>
              <w:t xml:space="preserve">Low</w:t>
            </w:r>
          </w:p>
        </w:tc>
        <w:tc>
          <w:p>
            <w:r>
              <w:rPr>
                <w:rFonts w:ascii="Arial" w:cs="Arial" w:eastAsia="Arial" w:hAnsi="Arial"/>
                <w:sz w:val="20"/>
                <w:szCs w:val="20"/>
              </w:rPr>
              <w:t xml:space="preserve">Medium</w:t>
            </w:r>
          </w:p>
        </w:tc>
        <w:tc>
          <w:p>
            <w:r>
              <w:rPr>
                <w:rFonts w:ascii="Arial" w:cs="Arial" w:eastAsia="Arial" w:hAnsi="Arial"/>
                <w:sz w:val="20"/>
                <w:szCs w:val="20"/>
              </w:rPr>
              <w:t xml:space="preserve">Encrypted EDI 834, SFTP transmission, carrier BAAs, minimum necessary data sharing</w:t>
            </w:r>
          </w:p>
        </w:tc>
        <w:tc>
          <w:p>
            <w:r>
              <w:rPr>
                <w:rFonts w:ascii="Arial" w:cs="Arial" w:eastAsia="Arial" w:hAnsi="Arial"/>
                <w:sz w:val="20"/>
                <w:szCs w:val="20"/>
              </w:rPr>
              <w:t xml:space="preserve">Low</w:t>
            </w:r>
          </w:p>
        </w:tc>
      </w:tr>
    </w:tbl>
    <w:p>
      <w:pPr>
        <w:pStyle w:val="Heading1"/>
        <w:spacing w:after="120" w:before="300"/>
      </w:pPr>
      <w:r>
        <w:rPr>
          <w:rFonts w:ascii="Arial" w:cs="Arial" w:eastAsia="Arial" w:hAnsi="Arial"/>
          <w:b/>
          <w:bCs/>
          <w:color w:val="1B3A5C"/>
          <w:sz w:val="32"/>
          <w:szCs w:val="32"/>
        </w:rPr>
        <w:t xml:space="preserve">9. Conclusion and Approval</w:t>
      </w:r>
    </w:p>
    <w:p>
      <w:pPr>
        <w:spacing w:after="120"/>
        <w:jc w:val="both"/>
      </w:pPr>
      <w:r>
        <w:rPr>
          <w:rFonts w:ascii="Arial" w:cs="Arial" w:eastAsia="Arial" w:hAnsi="Arial"/>
          <w:b w:val="false"/>
          <w:bCs w:val="false"/>
          <w:i w:val="false"/>
          <w:iCs w:val="false"/>
          <w:sz w:val="22"/>
          <w:szCs w:val="22"/>
        </w:rPr>
        <w:t>This Privacy Impact Assessment documents the data collection, use, sharing, and protection practices of the HPS AgentLink Broker Portal. The system implements comprehensive technical and administrative safeguards to protect consumer privacy while enabling the efficient processing of health insurance enrollment through the FFE.</w:t>
      </w:r>
    </w:p>
    <w:p>
      <w:pPr>
        <w:spacing w:after="120"/>
        <w:jc w:val="both"/>
      </w:pPr>
      <w:r>
        <w:rPr>
          <w:rFonts w:ascii="Arial" w:cs="Arial" w:eastAsia="Arial" w:hAnsi="Arial"/>
          <w:b w:val="false"/>
          <w:bCs w:val="false"/>
          <w:i w:val="false"/>
          <w:iCs w:val="false"/>
          <w:sz w:val="22"/>
          <w:szCs w:val="22"/>
        </w:rPr>
        <w:t xml:space="preserve">The assessment confirms that:</w:t>
      </w:r>
    </w:p>
    <w:p>
      <w:pPr>
        <w:pStyle w:val="ListParagraph"/>
        <w:numPr>
          <w:ilvl w:val="0"/>
          <w:numId w:val="1"/>
        </w:numPr>
        <w:spacing w:after="60"/>
      </w:pPr>
      <w:r>
        <w:rPr>
          <w:rFonts w:ascii="Arial" w:cs="Arial" w:eastAsia="Arial" w:hAnsi="Arial"/>
          <w:sz w:val="22"/>
          <w:szCs w:val="22"/>
        </w:rPr>
        <w:t xml:space="preserve">Data collection is limited to the minimum necessary for enrollment processing.</w:t>
      </w:r>
    </w:p>
    <w:p>
      <w:pPr>
        <w:pStyle w:val="ListParagraph"/>
        <w:numPr>
          <w:ilvl w:val="0"/>
          <w:numId w:val="1"/>
        </w:numPr>
        <w:spacing w:after="60"/>
      </w:pPr>
      <w:r>
        <w:rPr>
          <w:rFonts w:ascii="Arial" w:cs="Arial" w:eastAsia="Arial" w:hAnsi="Arial"/>
          <w:sz w:val="22"/>
          <w:szCs w:val="22"/>
        </w:rPr>
        <w:t xml:space="preserve">All data sharing is restricted to entities directly involved in the enrollment workflow.</w:t>
      </w:r>
    </w:p>
    <w:p>
      <w:pPr>
        <w:pStyle w:val="ListParagraph"/>
        <w:numPr>
          <w:ilvl w:val="0"/>
          <w:numId w:val="1"/>
        </w:numPr>
        <w:spacing w:after="60"/>
      </w:pPr>
      <w:r>
        <w:rPr>
          <w:rFonts w:ascii="Arial" w:cs="Arial" w:eastAsia="Arial" w:hAnsi="Arial"/>
          <w:sz w:val="22"/>
          <w:szCs w:val="22"/>
        </w:rPr>
        <w:t xml:space="preserve">Technical controls including AES-256 encryption, RBAC, and comprehensive audit logging are in place.</w:t>
      </w:r>
    </w:p>
    <w:p>
      <w:pPr>
        <w:pStyle w:val="ListParagraph"/>
        <w:numPr>
          <w:ilvl w:val="0"/>
          <w:numId w:val="1"/>
        </w:numPr>
        <w:spacing w:after="60"/>
      </w:pPr>
      <w:r>
        <w:rPr>
          <w:rFonts w:ascii="Arial" w:cs="Arial" w:eastAsia="Arial" w:hAnsi="Arial"/>
          <w:sz w:val="22"/>
          <w:szCs w:val="22"/>
        </w:rPr>
        <w:t xml:space="preserve">Data retention periods comply with HIPAA, CMS, and IRS requirements.</w:t>
      </w:r>
    </w:p>
    <w:p>
      <w:pPr>
        <w:pStyle w:val="ListParagraph"/>
        <w:numPr>
          <w:ilvl w:val="0"/>
          <w:numId w:val="1"/>
        </w:numPr>
        <w:spacing w:after="60"/>
      </w:pPr>
      <w:r>
        <w:rPr>
          <w:rFonts w:ascii="Arial" w:cs="Arial" w:eastAsia="Arial" w:hAnsi="Arial"/>
          <w:sz w:val="22"/>
          <w:szCs w:val="22"/>
        </w:rPr>
        <w:t xml:space="preserve">Individual privacy rights are supported with documented procedures.</w:t>
      </w:r>
    </w:p>
    <w:p>
      <w:pPr>
        <w:pStyle w:val="ListParagraph"/>
        <w:numPr>
          <w:ilvl w:val="0"/>
          <w:numId w:val="1"/>
        </w:numPr>
        <w:spacing w:after="60"/>
      </w:pPr>
      <w:r>
        <w:rPr>
          <w:rFonts w:ascii="Arial" w:cs="Arial" w:eastAsia="Arial" w:hAnsi="Arial"/>
          <w:sz w:val="22"/>
          <w:szCs w:val="22"/>
        </w:rPr>
        <w:t xml:space="preserve">Identified risks have been mitigated to acceptable residual levels.</w:t>
      </w:r>
    </w:p>
    <w:p>
      <w:pPr>
        <w:spacing w:after="120"/>
        <w:jc w:val="both"/>
      </w:pPr>
      <w:r>
        <w:rPr>
          <w:rFonts w:ascii="Arial" w:cs="Arial" w:eastAsia="Arial" w:hAnsi="Arial"/>
          <w:b w:val="false"/>
          <w:bCs w:val="false"/>
          <w:i w:val="false"/>
          <w:iCs w:val="false"/>
          <w:sz w:val="22"/>
          <w:szCs w:val="22"/>
        </w:rPr>
        <w:t xml:space="preserve">This PIA will be reviewed annually or whenever significant changes are made to the system's data processing activities.</w:t>
      </w:r>
    </w:p>
    <w:p>
      <w:pPr>
        <w:spacing w:before="600"/>
      </w:pPr>
    </w:p>
    <w:p>
      <w:pPr>
        <w:spacing w:after="120"/>
        <w:jc w:val="both"/>
      </w:pPr>
      <w:r>
        <w:rPr>
          <w:rFonts w:ascii="Arial" w:cs="Arial" w:eastAsia="Arial" w:hAnsi="Arial"/>
          <w:b/>
          <w:bCs/>
          <w:i w:val="false"/>
          <w:iCs w:val="false"/>
          <w:sz w:val="22"/>
          <w:szCs w:val="22"/>
        </w:rPr>
        <w:t xml:space="preserve">APPROVAL SIGNATURES</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Privacy Officer: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System Owner: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Chief Information Security Officer: ____________________</w:t>
      </w:r>
    </w:p>
    <w:p>
      <w:pPr>
        <w:spacing w:after="80"/>
      </w:pPr>
      <w:r>
        <w:rPr>
          <w:rFonts w:ascii="Arial" w:cs="Arial" w:eastAsia="Arial" w:hAnsi="Arial"/>
          <w:sz w:val="22"/>
          <w:szCs w:val="22"/>
        </w:rPr>
        <w:t xml:space="preserve">Date: ____________________</w:t>
      </w:r>
    </w:p>
    <w:sectPr>
      <w:headerReference w:type="default" r:id="rId7"/>
      <w:footerReference w:type="default" r:id="rId8"/>
      <w:headerReference w:type="first" r:id="rId10"/>
      <w:headerReference w:type="even" r:id="rId11"/>
      <w:footerReference w:type="first" r:id="rId12"/>
      <w:footerReference w:type="even" r:id="rId13"/>
      <w:pgSz w:w="12240" w:h="15840" w:orient="portrait"/>
      <w:pgMar w:top="1440" w:right="180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16"/>
        <w:szCs w:val="16"/>
      </w:rPr>
      <w:t xml:space="preserve">BrokerLink Privacy Impact Assessment  |  Page </w:t>
    </w:r>
    <w:r>
      <w:rPr>
        <w:rFonts w:ascii="Arial" w:cs="Arial" w:eastAsia="Arial" w:hAnsi="Arial"/>
        <w:sz w:val="16"/>
        <w:szCs w:val="16"/>
      </w:rPr>
      <w:fldChar w:fldCharType="begin"/>
      <w:instrText xml:space="preserve">PAGE</w:instrText>
      <w:fldChar w:fldCharType="separate"/>
      <w:fldChar w:fldCharType="end"/>
    </w:r>
    <w:r>
      <w:rPr>
        <w:rFonts w:ascii="Arial" w:cs="Arial" w:eastAsia="Arial" w:hAnsi="Arial"/>
        <w:sz w:val="16"/>
        <w:szCs w:val="16"/>
      </w:rPr>
      <w:t xml:space="preserve"> of </w:t>
    </w:r>
    <w:r>
      <w:rPr>
        <w:rFonts w:ascii="Arial" w:cs="Arial" w:eastAsia="Arial" w:hAnsi="Arial"/>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b/>
        <w:bCs/>
        <w:i/>
        <w:iCs/>
        <w:color w:val="CC0000"/>
        <w:sz w:val="18"/>
        <w:szCs w:val="18"/>
      </w:rPr>
      <w:t xml:space="preserve">CONFIDENTIAL</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2.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2026-03-23T22:22:48.732Z</dcterms:created>
  <dcterms:modified xsi:type="dcterms:W3CDTF">2026-03-23T22:22:48.732Z</dcterms:modified>
</cp:coreProperties>
</file>

<file path=docProps/custom.xml><?xml version="1.0" encoding="utf-8"?>
<Properties xmlns="http://schemas.openxmlformats.org/officeDocument/2006/custom-properties" xmlns:vt="http://schemas.openxmlformats.org/officeDocument/2006/docPropsVTypes"/>
</file>